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700" w:lineRule="exact"/>
        <w:jc w:val="center"/>
        <w:rPr>
          <w:rFonts w:ascii="黑体" w:hAnsi="黑体" w:eastAsia="黑体" w:cs="黑体"/>
          <w:color w:val="auto"/>
          <w:spacing w:val="4"/>
          <w:sz w:val="28"/>
          <w:szCs w:val="28"/>
        </w:rPr>
      </w:pPr>
      <w:r>
        <w:rPr>
          <w:rFonts w:hint="eastAsia" w:ascii="黑体" w:hAnsi="黑体" w:eastAsia="黑体" w:cs="黑体"/>
          <w:color w:val="auto"/>
          <w:sz w:val="28"/>
        </w:rPr>
        <w:t>项目名称：</w:t>
      </w:r>
      <w:bookmarkStart w:id="0" w:name="PO_projectName"/>
      <w:r>
        <w:rPr>
          <w:rFonts w:hint="eastAsia" w:ascii="黑体" w:hAnsi="黑体" w:eastAsia="黑体" w:cs="黑体"/>
          <w:color w:val="auto"/>
          <w:sz w:val="28"/>
          <w:lang w:eastAsia="zh-CN"/>
        </w:rPr>
        <w:t>立达股份应收账款项目</w:t>
      </w:r>
      <w:bookmarkEnd w:id="0"/>
      <w:r>
        <w:rPr>
          <w:rFonts w:ascii="黑体" w:hAnsi="黑体" w:eastAsia="黑体" w:cs="黑体"/>
          <w:color w:val="auto"/>
          <w:spacing w:val="4"/>
          <w:sz w:val="28"/>
          <w:szCs w:val="28"/>
        </w:rPr>
        <w:t xml:space="preserve"> </w:t>
      </w:r>
    </w:p>
    <w:p>
      <w:pPr>
        <w:spacing w:after="0" w:line="240" w:lineRule="auto"/>
        <w:jc w:val="center"/>
        <w:rPr>
          <w:rFonts w:ascii="黑体" w:hAnsi="黑体" w:eastAsia="黑体" w:cs="黑体"/>
          <w:color w:val="auto"/>
          <w:sz w:val="28"/>
          <w:szCs w:val="28"/>
        </w:rPr>
      </w:pPr>
    </w:p>
    <w:p>
      <w:pPr>
        <w:spacing w:after="0" w:line="240" w:lineRule="auto"/>
        <w:jc w:val="center"/>
        <w:rPr>
          <w:rFonts w:ascii="黑体" w:hAnsi="黑体" w:eastAsia="黑体" w:cs="黑体"/>
          <w:color w:val="auto"/>
          <w:sz w:val="28"/>
          <w:szCs w:val="28"/>
        </w:rPr>
      </w:pPr>
    </w:p>
    <w:p>
      <w:pPr>
        <w:spacing w:after="0" w:line="240" w:lineRule="auto"/>
        <w:jc w:val="center"/>
        <w:rPr>
          <w:rFonts w:ascii="黑体" w:hAnsi="黑体" w:eastAsia="黑体" w:cs="黑体"/>
          <w:color w:val="auto"/>
          <w:sz w:val="28"/>
          <w:szCs w:val="28"/>
        </w:rPr>
      </w:pPr>
    </w:p>
    <w:p>
      <w:pPr>
        <w:spacing w:after="0" w:line="240" w:lineRule="auto"/>
        <w:jc w:val="center"/>
        <w:rPr>
          <w:rFonts w:ascii="黑体" w:hAnsi="黑体" w:eastAsia="黑体" w:cs="黑体"/>
          <w:color w:val="auto"/>
          <w:sz w:val="28"/>
          <w:szCs w:val="28"/>
        </w:rPr>
      </w:pPr>
    </w:p>
    <w:p>
      <w:pPr>
        <w:spacing w:after="0" w:line="240" w:lineRule="auto"/>
        <w:jc w:val="center"/>
        <w:rPr>
          <w:rFonts w:ascii="黑体" w:hAnsi="黑体" w:eastAsia="黑体" w:cs="黑体"/>
          <w:color w:val="auto"/>
          <w:sz w:val="44"/>
          <w:szCs w:val="44"/>
        </w:rPr>
      </w:pPr>
    </w:p>
    <w:p>
      <w:pPr>
        <w:spacing w:after="0" w:line="240" w:lineRule="auto"/>
        <w:jc w:val="center"/>
        <w:rPr>
          <w:rFonts w:ascii="黑体" w:hAnsi="黑体" w:eastAsia="黑体" w:cs="黑体"/>
          <w:color w:val="auto"/>
          <w:sz w:val="44"/>
          <w:szCs w:val="44"/>
        </w:rPr>
      </w:pPr>
    </w:p>
    <w:p>
      <w:pPr>
        <w:spacing w:after="0" w:line="240" w:lineRule="auto"/>
        <w:jc w:val="center"/>
        <w:rPr>
          <w:rFonts w:ascii="黑体" w:hAnsi="黑体" w:eastAsia="黑体" w:cs="黑体"/>
          <w:color w:val="auto"/>
          <w:sz w:val="44"/>
          <w:szCs w:val="44"/>
        </w:rPr>
      </w:pPr>
    </w:p>
    <w:p>
      <w:pPr>
        <w:spacing w:after="0" w:line="240" w:lineRule="auto"/>
        <w:jc w:val="center"/>
        <w:rPr>
          <w:rFonts w:ascii="黑体" w:hAnsi="黑体" w:eastAsia="黑体" w:cs="黑体"/>
          <w:color w:val="auto"/>
          <w:sz w:val="44"/>
          <w:szCs w:val="44"/>
        </w:rPr>
      </w:pPr>
    </w:p>
    <w:p>
      <w:pPr>
        <w:spacing w:after="0" w:line="240" w:lineRule="auto"/>
        <w:jc w:val="center"/>
        <w:rPr>
          <w:rFonts w:ascii="黑体" w:hAnsi="黑体" w:eastAsia="黑体" w:cs="黑体"/>
          <w:color w:val="auto"/>
          <w:sz w:val="44"/>
          <w:szCs w:val="44"/>
        </w:rPr>
      </w:pPr>
      <w:r>
        <w:rPr>
          <w:rFonts w:hint="eastAsia" w:ascii="黑体" w:hAnsi="黑体" w:eastAsia="黑体" w:cs="黑体"/>
          <w:color w:val="auto"/>
          <w:sz w:val="44"/>
          <w:szCs w:val="44"/>
          <w:lang w:eastAsia="zh-CN"/>
        </w:rPr>
        <w:t>招议标</w:t>
      </w:r>
      <w:r>
        <w:rPr>
          <w:rFonts w:hint="eastAsia" w:ascii="黑体" w:hAnsi="黑体" w:eastAsia="黑体" w:cs="黑体"/>
          <w:color w:val="auto"/>
          <w:sz w:val="44"/>
          <w:szCs w:val="44"/>
        </w:rPr>
        <w:t>文件</w:t>
      </w:r>
    </w:p>
    <w:p>
      <w:pPr>
        <w:pStyle w:val="12"/>
        <w:rPr>
          <w:rFonts w:ascii="黑体" w:hAnsi="黑体" w:eastAsia="黑体" w:cs="黑体"/>
          <w:color w:val="auto"/>
          <w:sz w:val="44"/>
        </w:rPr>
      </w:pPr>
    </w:p>
    <w:p>
      <w:pPr>
        <w:pStyle w:val="12"/>
        <w:rPr>
          <w:rFonts w:ascii="黑体" w:hAnsi="黑体" w:eastAsia="黑体" w:cs="黑体"/>
          <w:color w:val="auto"/>
          <w:sz w:val="44"/>
        </w:rPr>
      </w:pPr>
    </w:p>
    <w:p>
      <w:pPr>
        <w:pStyle w:val="12"/>
        <w:rPr>
          <w:rFonts w:ascii="黑体" w:hAnsi="黑体" w:eastAsia="黑体" w:cs="黑体"/>
          <w:color w:val="auto"/>
          <w:sz w:val="44"/>
        </w:rPr>
      </w:pPr>
    </w:p>
    <w:p>
      <w:pPr>
        <w:pStyle w:val="12"/>
        <w:rPr>
          <w:rFonts w:ascii="黑体" w:hAnsi="黑体" w:eastAsia="黑体" w:cs="黑体"/>
          <w:color w:val="auto"/>
          <w:sz w:val="44"/>
        </w:rPr>
      </w:pPr>
    </w:p>
    <w:p>
      <w:pPr>
        <w:pStyle w:val="12"/>
        <w:rPr>
          <w:rFonts w:ascii="黑体" w:hAnsi="黑体" w:eastAsia="黑体" w:cs="黑体"/>
          <w:color w:val="auto"/>
          <w:sz w:val="44"/>
        </w:rPr>
      </w:pPr>
    </w:p>
    <w:p>
      <w:pPr>
        <w:pStyle w:val="12"/>
        <w:spacing w:after="0" w:line="240" w:lineRule="auto"/>
        <w:ind w:left="0" w:firstLine="0"/>
        <w:rPr>
          <w:rFonts w:ascii="黑体" w:hAnsi="黑体" w:eastAsia="黑体" w:cs="黑体"/>
          <w:color w:val="auto"/>
          <w:sz w:val="44"/>
        </w:rPr>
      </w:pPr>
    </w:p>
    <w:p>
      <w:pPr>
        <w:spacing w:after="0" w:line="240" w:lineRule="auto"/>
        <w:ind w:left="0" w:firstLine="0"/>
        <w:jc w:val="center"/>
        <w:rPr>
          <w:rFonts w:hint="eastAsia" w:ascii="黑体" w:hAnsi="黑体" w:eastAsia="黑体" w:cs="黑体"/>
          <w:color w:val="auto"/>
          <w:sz w:val="28"/>
          <w:lang w:eastAsia="zh-CN"/>
        </w:rPr>
      </w:pPr>
      <w:r>
        <w:rPr>
          <w:rFonts w:hint="eastAsia" w:ascii="黑体" w:hAnsi="黑体" w:eastAsia="黑体" w:cs="黑体"/>
          <w:color w:val="auto"/>
          <w:sz w:val="28"/>
          <w:lang w:eastAsia="zh-CN"/>
        </w:rPr>
        <w:t>招议标</w:t>
      </w:r>
      <w:r>
        <w:rPr>
          <w:rFonts w:ascii="黑体" w:hAnsi="黑体" w:eastAsia="黑体" w:cs="黑体"/>
          <w:color w:val="auto"/>
          <w:sz w:val="28"/>
        </w:rPr>
        <w:t>人：</w:t>
      </w:r>
      <w:r>
        <w:rPr>
          <w:rFonts w:hint="eastAsia" w:ascii="黑体" w:hAnsi="黑体" w:eastAsia="黑体" w:cs="黑体"/>
          <w:color w:val="auto"/>
          <w:sz w:val="28"/>
          <w:lang w:eastAsia="zh-CN"/>
        </w:rPr>
        <w:t>湘煤立达矿山装备股份有限公司</w:t>
      </w:r>
    </w:p>
    <w:p>
      <w:pPr>
        <w:spacing w:after="0" w:line="240" w:lineRule="auto"/>
        <w:ind w:left="0" w:firstLine="0"/>
        <w:jc w:val="center"/>
        <w:rPr>
          <w:rFonts w:ascii="黑体" w:hAnsi="黑体" w:eastAsia="黑体" w:cs="黑体"/>
          <w:color w:val="auto"/>
          <w:sz w:val="28"/>
        </w:rPr>
      </w:pPr>
    </w:p>
    <w:p>
      <w:pPr>
        <w:spacing w:after="0" w:line="240" w:lineRule="auto"/>
        <w:ind w:left="0" w:firstLine="0"/>
        <w:jc w:val="center"/>
        <w:rPr>
          <w:rFonts w:hint="eastAsia" w:eastAsia="宋体"/>
          <w:color w:val="auto"/>
          <w:lang w:eastAsia="zh-CN"/>
        </w:rPr>
        <w:sectPr>
          <w:footerReference r:id="rId7" w:type="first"/>
          <w:footerReference r:id="rId5" w:type="default"/>
          <w:footerReference r:id="rId6" w:type="even"/>
          <w:pgSz w:w="11907" w:h="16840"/>
          <w:pgMar w:top="1894" w:right="1542" w:bottom="1638" w:left="1587" w:header="720" w:footer="2" w:gutter="0"/>
          <w:cols w:space="720" w:num="1"/>
        </w:sectPr>
      </w:pPr>
      <w:bookmarkStart w:id="1" w:name="PO_sysTime_1"/>
      <w:r>
        <w:rPr>
          <w:rFonts w:hint="eastAsia"/>
          <w:color w:val="auto"/>
          <w:lang w:eastAsia="zh-CN"/>
        </w:rPr>
        <w:t>2022年0</w:t>
      </w:r>
      <w:r>
        <w:rPr>
          <w:rFonts w:hint="eastAsia"/>
          <w:color w:val="auto"/>
          <w:lang w:val="en-US" w:eastAsia="zh-CN"/>
        </w:rPr>
        <w:t>7</w:t>
      </w:r>
      <w:r>
        <w:rPr>
          <w:rFonts w:hint="eastAsia"/>
          <w:color w:val="auto"/>
          <w:lang w:eastAsia="zh-CN"/>
        </w:rPr>
        <w:t>月</w:t>
      </w:r>
      <w:r>
        <w:rPr>
          <w:rFonts w:hint="eastAsia"/>
          <w:color w:val="auto"/>
          <w:lang w:val="en-US" w:eastAsia="zh-CN"/>
        </w:rPr>
        <w:t>26</w:t>
      </w:r>
      <w:r>
        <w:rPr>
          <w:rFonts w:hint="eastAsia"/>
          <w:color w:val="auto"/>
          <w:lang w:eastAsia="zh-CN"/>
        </w:rPr>
        <w:t>日</w:t>
      </w:r>
      <w:bookmarkEnd w:id="1"/>
    </w:p>
    <w:p>
      <w:pPr>
        <w:spacing w:after="0" w:line="240" w:lineRule="auto"/>
        <w:ind w:left="0" w:firstLine="0"/>
        <w:rPr>
          <w:color w:val="auto"/>
          <w:lang w:val="zh-CN"/>
        </w:rPr>
      </w:pPr>
      <w:r>
        <w:rPr>
          <w:rFonts w:hint="eastAsia"/>
          <w:color w:val="auto"/>
          <w:lang w:val="zh-CN"/>
        </w:rPr>
        <w:tab/>
      </w:r>
    </w:p>
    <w:sdt>
      <w:sdtPr>
        <w:rPr>
          <w:color w:val="auto"/>
          <w:lang w:val="zh-CN"/>
        </w:rPr>
        <w:id w:val="1241370267"/>
        <w:docPartObj>
          <w:docPartGallery w:val="Table of Contents"/>
          <w:docPartUnique/>
        </w:docPartObj>
      </w:sdtPr>
      <w:sdtEndPr>
        <w:rPr>
          <w:b/>
          <w:bCs/>
          <w:color w:val="auto"/>
          <w:lang w:val="zh-CN"/>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15"/>
            <w:tabs>
              <w:tab w:val="right" w:leader="dot" w:pos="8777"/>
            </w:tabs>
          </w:pPr>
          <w:r>
            <w:rPr>
              <w:color w:val="auto"/>
            </w:rPr>
            <w:fldChar w:fldCharType="begin"/>
          </w:r>
          <w:r>
            <w:rPr>
              <w:color w:val="auto"/>
            </w:rPr>
            <w:instrText xml:space="preserve"> TOC \o "1-3" \h \z \u </w:instrText>
          </w:r>
          <w:r>
            <w:rPr>
              <w:color w:val="auto"/>
            </w:rPr>
            <w:fldChar w:fldCharType="separate"/>
          </w:r>
          <w:r>
            <w:rPr>
              <w:color w:val="auto"/>
            </w:rPr>
            <w:fldChar w:fldCharType="begin"/>
          </w:r>
          <w:r>
            <w:instrText xml:space="preserve"> HYPERLINK \l _Toc2547 </w:instrText>
          </w:r>
          <w:r>
            <w:fldChar w:fldCharType="separate"/>
          </w:r>
          <w:r>
            <w:rPr>
              <w:rFonts w:ascii="华文中宋" w:hAnsi="华文中宋" w:eastAsia="华文中宋" w:cs="华文中宋"/>
            </w:rPr>
            <w:t>第一章</w:t>
          </w:r>
          <w:r>
            <w:rPr>
              <w:rFonts w:hint="eastAsia" w:ascii="华文中宋" w:hAnsi="华文中宋" w:eastAsia="华文中宋" w:cs="华文中宋"/>
            </w:rPr>
            <w:t xml:space="preserve"> </w:t>
          </w:r>
          <w:r>
            <w:rPr>
              <w:rFonts w:ascii="华文中宋" w:hAnsi="华文中宋" w:eastAsia="华文中宋" w:cs="华文中宋"/>
            </w:rPr>
            <w:t xml:space="preserve">     </w:t>
          </w:r>
          <w:r>
            <w:rPr>
              <w:rFonts w:hint="eastAsia" w:ascii="华文中宋" w:hAnsi="华文中宋" w:eastAsia="华文中宋" w:cs="华文中宋"/>
              <w:lang w:eastAsia="zh-CN"/>
            </w:rPr>
            <w:t>招议标</w:t>
          </w:r>
          <w:r>
            <w:rPr>
              <w:rFonts w:ascii="华文中宋" w:hAnsi="华文中宋" w:eastAsia="华文中宋" w:cs="华文中宋"/>
            </w:rPr>
            <w:t>公告</w:t>
          </w:r>
          <w:r>
            <w:tab/>
          </w:r>
          <w:r>
            <w:fldChar w:fldCharType="begin"/>
          </w:r>
          <w:r>
            <w:instrText xml:space="preserve"> PAGEREF _Toc2547 </w:instrText>
          </w:r>
          <w:r>
            <w:fldChar w:fldCharType="separate"/>
          </w:r>
          <w:r>
            <w:t>3</w:t>
          </w:r>
          <w:r>
            <w:fldChar w:fldCharType="end"/>
          </w:r>
          <w:r>
            <w:rPr>
              <w:color w:val="auto"/>
            </w:rPr>
            <w:fldChar w:fldCharType="end"/>
          </w:r>
        </w:p>
        <w:p>
          <w:pPr>
            <w:pStyle w:val="15"/>
            <w:tabs>
              <w:tab w:val="right" w:leader="dot" w:pos="8777"/>
            </w:tabs>
          </w:pPr>
          <w:r>
            <w:rPr>
              <w:bCs/>
              <w:color w:val="auto"/>
              <w:lang w:val="zh-CN"/>
            </w:rPr>
            <w:fldChar w:fldCharType="begin"/>
          </w:r>
          <w:r>
            <w:rPr>
              <w:bCs/>
              <w:lang w:val="zh-CN"/>
            </w:rPr>
            <w:instrText xml:space="preserve"> HYPERLINK \l _Toc5034 </w:instrText>
          </w:r>
          <w:r>
            <w:rPr>
              <w:bCs/>
              <w:lang w:val="zh-CN"/>
            </w:rPr>
            <w:fldChar w:fldCharType="separate"/>
          </w:r>
          <w:r>
            <w:rPr>
              <w:rFonts w:ascii="华文中宋" w:hAnsi="华文中宋" w:eastAsia="华文中宋" w:cs="华文中宋"/>
            </w:rPr>
            <w:t>第二章</w:t>
          </w:r>
          <w:r>
            <w:rPr>
              <w:rFonts w:hint="eastAsia" w:ascii="华文中宋" w:hAnsi="华文中宋" w:eastAsia="华文中宋" w:cs="华文中宋"/>
              <w:lang w:val="en-US" w:eastAsia="zh-CN"/>
            </w:rPr>
            <w:t xml:space="preserve">      </w:t>
          </w:r>
          <w:r>
            <w:rPr>
              <w:rFonts w:ascii="华文中宋" w:hAnsi="华文中宋" w:eastAsia="华文中宋" w:cs="华文中宋"/>
            </w:rPr>
            <w:t>投标人须知</w:t>
          </w:r>
          <w:r>
            <w:tab/>
          </w:r>
          <w:r>
            <w:rPr>
              <w:rFonts w:hint="eastAsia"/>
              <w:lang w:val="en-US" w:eastAsia="zh-CN"/>
            </w:rPr>
            <w:t>5</w:t>
          </w:r>
          <w:r>
            <w:rPr>
              <w:bCs/>
              <w:color w:val="auto"/>
              <w:lang w:val="zh-CN"/>
            </w:rPr>
            <w:fldChar w:fldCharType="end"/>
          </w:r>
        </w:p>
        <w:p>
          <w:pPr>
            <w:pStyle w:val="16"/>
            <w:tabs>
              <w:tab w:val="right" w:leader="dot" w:pos="8777"/>
            </w:tabs>
            <w:ind w:left="0" w:leftChars="0" w:firstLine="0" w:firstLineChars="0"/>
          </w:pPr>
          <w:r>
            <w:rPr>
              <w:bCs/>
              <w:color w:val="auto"/>
              <w:lang w:val="zh-CN"/>
            </w:rPr>
            <w:fldChar w:fldCharType="begin"/>
          </w:r>
          <w:r>
            <w:rPr>
              <w:bCs/>
              <w:lang w:val="zh-CN"/>
            </w:rPr>
            <w:instrText xml:space="preserve"> HYPERLINK \l _Toc21561 </w:instrText>
          </w:r>
          <w:r>
            <w:rPr>
              <w:bCs/>
              <w:lang w:val="zh-CN"/>
            </w:rPr>
            <w:fldChar w:fldCharType="separate"/>
          </w:r>
          <w:r>
            <w:rPr>
              <w:rFonts w:hint="eastAsia" w:ascii="华文中宋" w:hAnsi="华文中宋" w:eastAsia="华文中宋" w:cs="华文中宋"/>
            </w:rPr>
            <w:t>第</w:t>
          </w:r>
          <w:r>
            <w:rPr>
              <w:rFonts w:ascii="华文中宋" w:hAnsi="华文中宋" w:eastAsia="华文中宋" w:cs="华文中宋"/>
            </w:rPr>
            <w:t>三章</w:t>
          </w:r>
          <w:r>
            <w:rPr>
              <w:rFonts w:hint="eastAsia" w:ascii="华文中宋" w:hAnsi="华文中宋" w:eastAsia="华文中宋" w:cs="华文中宋"/>
              <w:lang w:val="en-US" w:eastAsia="zh-CN"/>
            </w:rPr>
            <w:t xml:space="preserve">      </w:t>
          </w:r>
          <w:r>
            <w:rPr>
              <w:rFonts w:ascii="华文中宋" w:hAnsi="华文中宋" w:eastAsia="华文中宋" w:cs="华文中宋"/>
            </w:rPr>
            <w:t>评标办法（综合评估法</w:t>
          </w:r>
          <w:r>
            <w:rPr>
              <w:rFonts w:hint="eastAsia" w:ascii="华文中宋" w:hAnsi="华文中宋" w:eastAsia="华文中宋" w:cs="华文中宋"/>
            </w:rPr>
            <w:t>Ⅰ</w:t>
          </w:r>
          <w:r>
            <w:rPr>
              <w:rFonts w:ascii="华文中宋" w:hAnsi="华文中宋" w:eastAsia="华文中宋" w:cs="华文中宋"/>
            </w:rPr>
            <w:t>）</w:t>
          </w:r>
          <w:r>
            <w:tab/>
          </w:r>
          <w:r>
            <w:rPr>
              <w:rFonts w:hint="eastAsia"/>
              <w:lang w:val="en-US" w:eastAsia="zh-CN"/>
            </w:rPr>
            <w:t>2</w:t>
          </w:r>
          <w:r>
            <w:rPr>
              <w:bCs/>
              <w:color w:val="auto"/>
              <w:lang w:val="zh-CN"/>
            </w:rPr>
            <w:fldChar w:fldCharType="end"/>
          </w:r>
          <w:r>
            <w:rPr>
              <w:rFonts w:hint="eastAsia"/>
              <w:bCs/>
              <w:color w:val="auto"/>
              <w:lang w:val="en-US" w:eastAsia="zh-CN"/>
            </w:rPr>
            <w:t>0</w:t>
          </w:r>
        </w:p>
        <w:p>
          <w:pPr>
            <w:pStyle w:val="15"/>
            <w:tabs>
              <w:tab w:val="right" w:leader="dot" w:pos="8777"/>
            </w:tabs>
            <w:rPr>
              <w:rFonts w:hint="eastAsia" w:eastAsiaTheme="minorEastAsia"/>
              <w:lang w:val="en-US" w:eastAsia="zh-CN"/>
            </w:rPr>
          </w:pPr>
          <w:r>
            <w:rPr>
              <w:bCs/>
              <w:color w:val="auto"/>
              <w:lang w:val="zh-CN"/>
            </w:rPr>
            <w:fldChar w:fldCharType="begin"/>
          </w:r>
          <w:r>
            <w:rPr>
              <w:bCs/>
              <w:lang w:val="zh-CN"/>
            </w:rPr>
            <w:instrText xml:space="preserve"> HYPERLINK \l _Toc31762 </w:instrText>
          </w:r>
          <w:r>
            <w:rPr>
              <w:bCs/>
              <w:lang w:val="zh-CN"/>
            </w:rPr>
            <w:fldChar w:fldCharType="separate"/>
          </w:r>
          <w:r>
            <w:rPr>
              <w:rFonts w:ascii="华文中宋" w:hAnsi="华文中宋" w:eastAsia="华文中宋" w:cs="华文中宋"/>
            </w:rPr>
            <w:t>第</w:t>
          </w:r>
          <w:r>
            <w:rPr>
              <w:rFonts w:hint="eastAsia" w:ascii="华文中宋" w:hAnsi="华文中宋" w:eastAsia="华文中宋" w:cs="华文中宋"/>
              <w:lang w:eastAsia="zh-CN"/>
            </w:rPr>
            <w:t>四章</w:t>
          </w:r>
          <w:r>
            <w:rPr>
              <w:rFonts w:hint="eastAsia" w:ascii="华文中宋" w:hAnsi="华文中宋" w:eastAsia="华文中宋" w:cs="华文中宋"/>
              <w:lang w:val="en-US" w:eastAsia="zh-CN"/>
            </w:rPr>
            <w:t xml:space="preserve">      招标文件</w:t>
          </w:r>
          <w:r>
            <w:tab/>
          </w:r>
          <w:r>
            <w:rPr>
              <w:rFonts w:hint="eastAsia"/>
              <w:lang w:val="en-US" w:eastAsia="zh-CN"/>
            </w:rPr>
            <w:t>2</w:t>
          </w:r>
          <w:r>
            <w:rPr>
              <w:bCs/>
              <w:color w:val="auto"/>
              <w:lang w:val="zh-CN"/>
            </w:rPr>
            <w:fldChar w:fldCharType="end"/>
          </w:r>
          <w:r>
            <w:rPr>
              <w:rFonts w:hint="eastAsia"/>
              <w:bCs/>
              <w:color w:val="auto"/>
              <w:lang w:val="en-US" w:eastAsia="zh-CN"/>
            </w:rPr>
            <w:t>5</w:t>
          </w:r>
        </w:p>
        <w:p>
          <w:pPr>
            <w:pStyle w:val="16"/>
            <w:tabs>
              <w:tab w:val="right" w:leader="dot" w:pos="8777"/>
            </w:tabs>
            <w:ind w:left="0" w:leftChars="0" w:firstLine="0" w:firstLineChars="0"/>
          </w:pPr>
        </w:p>
        <w:p>
          <w:pPr>
            <w:pStyle w:val="16"/>
            <w:tabs>
              <w:tab w:val="right" w:leader="dot" w:pos="8777"/>
            </w:tabs>
          </w:pPr>
        </w:p>
        <w:p>
          <w:pPr>
            <w:pStyle w:val="16"/>
            <w:tabs>
              <w:tab w:val="right" w:leader="dot" w:pos="8777"/>
            </w:tabs>
          </w:pPr>
        </w:p>
        <w:p>
          <w:pPr>
            <w:pStyle w:val="16"/>
            <w:tabs>
              <w:tab w:val="right" w:leader="dot" w:pos="8777"/>
            </w:tabs>
            <w:rPr>
              <w:color w:val="auto"/>
            </w:rPr>
          </w:pPr>
          <w:r>
            <w:rPr>
              <w:bCs/>
              <w:color w:val="auto"/>
              <w:lang w:val="zh-CN"/>
            </w:rPr>
            <w:fldChar w:fldCharType="begin"/>
          </w:r>
          <w:r>
            <w:rPr>
              <w:bCs/>
              <w:lang w:val="zh-CN"/>
            </w:rPr>
            <w:instrText xml:space="preserve"> HYPERLINK \l _Toc15460 </w:instrText>
          </w:r>
          <w:r>
            <w:rPr>
              <w:bCs/>
              <w:lang w:val="zh-CN"/>
            </w:rPr>
            <w:fldChar w:fldCharType="separate"/>
          </w:r>
          <w:r>
            <w:rPr>
              <w:bCs/>
              <w:color w:val="auto"/>
              <w:lang w:val="zh-CN"/>
            </w:rPr>
            <w:fldChar w:fldCharType="end"/>
          </w:r>
          <w:r>
            <w:rPr>
              <w:bCs/>
              <w:color w:val="auto"/>
              <w:lang w:val="zh-CN"/>
            </w:rPr>
            <w:fldChar w:fldCharType="end"/>
          </w:r>
        </w:p>
      </w:sdtContent>
    </w:sdt>
    <w:p>
      <w:pPr>
        <w:rPr>
          <w:color w:val="auto"/>
        </w:rPr>
      </w:pPr>
    </w:p>
    <w:p>
      <w:pPr>
        <w:pStyle w:val="2"/>
        <w:sectPr>
          <w:footerReference r:id="rId10" w:type="first"/>
          <w:footerReference r:id="rId8" w:type="default"/>
          <w:footerReference r:id="rId9" w:type="even"/>
          <w:pgSz w:w="11907" w:h="16840"/>
          <w:pgMar w:top="1896" w:right="1541" w:bottom="1639" w:left="1589" w:header="720" w:footer="1309" w:gutter="0"/>
          <w:pgNumType w:start="1"/>
          <w:cols w:space="720" w:num="1"/>
        </w:sectPr>
      </w:pPr>
    </w:p>
    <w:p>
      <w:pPr>
        <w:rPr>
          <w:color w:val="auto"/>
        </w:rPr>
        <w:sectPr>
          <w:footerReference r:id="rId13" w:type="first"/>
          <w:footerReference r:id="rId11" w:type="default"/>
          <w:footerReference r:id="rId12" w:type="even"/>
          <w:pgSz w:w="11907" w:h="16840"/>
          <w:pgMar w:top="1440" w:right="1440" w:bottom="1440" w:left="1440" w:header="720" w:footer="2" w:gutter="0"/>
          <w:cols w:space="720" w:num="1"/>
        </w:sectPr>
      </w:pPr>
    </w:p>
    <w:p>
      <w:pPr>
        <w:pStyle w:val="3"/>
        <w:spacing w:after="103" w:line="259" w:lineRule="auto"/>
        <w:ind w:right="0"/>
        <w:jc w:val="center"/>
        <w:rPr>
          <w:color w:val="auto"/>
        </w:rPr>
      </w:pPr>
      <w:bookmarkStart w:id="2" w:name="_Toc2547"/>
      <w:r>
        <w:rPr>
          <w:rFonts w:ascii="华文中宋" w:hAnsi="华文中宋" w:eastAsia="华文中宋" w:cs="华文中宋"/>
          <w:color w:val="auto"/>
          <w:sz w:val="44"/>
        </w:rPr>
        <w:t>第一章</w:t>
      </w:r>
      <w:r>
        <w:rPr>
          <w:rFonts w:hint="eastAsia" w:ascii="华文中宋" w:hAnsi="华文中宋" w:eastAsia="华文中宋" w:cs="华文中宋"/>
          <w:color w:val="auto"/>
          <w:sz w:val="44"/>
        </w:rPr>
        <w:t xml:space="preserve"> </w:t>
      </w:r>
      <w:r>
        <w:rPr>
          <w:rFonts w:ascii="华文中宋" w:hAnsi="华文中宋" w:eastAsia="华文中宋" w:cs="华文中宋"/>
          <w:color w:val="auto"/>
          <w:sz w:val="44"/>
        </w:rPr>
        <w:t xml:space="preserve">     </w:t>
      </w:r>
      <w:r>
        <w:rPr>
          <w:rFonts w:hint="eastAsia" w:ascii="华文中宋" w:hAnsi="华文中宋" w:eastAsia="华文中宋" w:cs="华文中宋"/>
          <w:color w:val="auto"/>
          <w:sz w:val="44"/>
          <w:lang w:eastAsia="zh-CN"/>
        </w:rPr>
        <w:t>招议标</w:t>
      </w:r>
      <w:r>
        <w:rPr>
          <w:rFonts w:ascii="华文中宋" w:hAnsi="华文中宋" w:eastAsia="华文中宋" w:cs="华文中宋"/>
          <w:color w:val="auto"/>
          <w:sz w:val="44"/>
        </w:rPr>
        <w:t>公告</w:t>
      </w:r>
      <w:bookmarkEnd w:id="2"/>
    </w:p>
    <w:p>
      <w:pPr>
        <w:widowControl w:val="0"/>
        <w:spacing w:line="500" w:lineRule="exact"/>
        <w:ind w:left="0" w:firstLine="0"/>
        <w:jc w:val="center"/>
        <w:rPr>
          <w:rFonts w:ascii="黑体" w:hAnsi="黑体" w:eastAsia="黑体" w:cs="黑体"/>
          <w:color w:val="auto"/>
          <w:sz w:val="28"/>
          <w:szCs w:val="28"/>
        </w:rPr>
      </w:pPr>
      <w:bookmarkStart w:id="3" w:name="PO_projectName_2"/>
      <w:r>
        <w:rPr>
          <w:rFonts w:hint="eastAsia" w:ascii="黑体" w:hAnsi="黑体" w:eastAsia="黑体" w:cs="黑体"/>
          <w:color w:val="auto"/>
          <w:sz w:val="28"/>
          <w:szCs w:val="28"/>
          <w:lang w:eastAsia="zh-CN"/>
        </w:rPr>
        <w:t>立达股份应收账款项目</w:t>
      </w:r>
      <w:bookmarkEnd w:id="3"/>
      <w:r>
        <w:rPr>
          <w:rFonts w:hint="eastAsia" w:ascii="黑体" w:hAnsi="黑体" w:eastAsia="黑体" w:cs="黑体"/>
          <w:color w:val="auto"/>
          <w:sz w:val="28"/>
          <w:szCs w:val="28"/>
        </w:rPr>
        <w:t>招议标公告</w:t>
      </w:r>
    </w:p>
    <w:p>
      <w:pPr>
        <w:pStyle w:val="4"/>
        <w:spacing w:after="174"/>
        <w:ind w:left="-5" w:right="0"/>
        <w:rPr>
          <w:color w:val="auto"/>
          <w:highlight w:val="none"/>
        </w:rPr>
      </w:pPr>
      <w:bookmarkStart w:id="4" w:name="_Toc8199"/>
      <w:bookmarkStart w:id="5" w:name="_Toc1807"/>
      <w:r>
        <w:rPr>
          <w:color w:val="auto"/>
          <w:highlight w:val="none"/>
        </w:rPr>
        <w:t xml:space="preserve">1. </w:t>
      </w:r>
      <w:r>
        <w:rPr>
          <w:rFonts w:hint="eastAsia"/>
          <w:color w:val="auto"/>
          <w:highlight w:val="none"/>
          <w:lang w:eastAsia="zh-CN"/>
        </w:rPr>
        <w:t>招议标</w:t>
      </w:r>
      <w:r>
        <w:rPr>
          <w:color w:val="auto"/>
          <w:highlight w:val="none"/>
        </w:rPr>
        <w:t>条件</w:t>
      </w:r>
      <w:bookmarkEnd w:id="4"/>
      <w:bookmarkEnd w:id="5"/>
    </w:p>
    <w:p>
      <w:pPr>
        <w:spacing w:after="244" w:line="417" w:lineRule="auto"/>
        <w:ind w:left="-15" w:firstLine="410"/>
        <w:jc w:val="both"/>
        <w:rPr>
          <w:color w:val="auto"/>
          <w:highlight w:val="none"/>
        </w:rPr>
      </w:pPr>
      <w:bookmarkStart w:id="6" w:name="_Toc7148"/>
      <w:r>
        <w:rPr>
          <w:color w:val="auto"/>
          <w:highlight w:val="none"/>
        </w:rPr>
        <w:t>本</w:t>
      </w:r>
      <w:r>
        <w:rPr>
          <w:rFonts w:hint="eastAsia"/>
          <w:color w:val="auto"/>
          <w:highlight w:val="none"/>
          <w:lang w:eastAsia="zh-CN"/>
        </w:rPr>
        <w:t>招议标</w:t>
      </w:r>
      <w:r>
        <w:rPr>
          <w:color w:val="auto"/>
          <w:highlight w:val="none"/>
        </w:rPr>
        <w:t>项目</w:t>
      </w:r>
      <w:r>
        <w:rPr>
          <w:color w:val="auto"/>
          <w:highlight w:val="none"/>
          <w:u w:val="single"/>
        </w:rPr>
        <w:t>（</w:t>
      </w:r>
      <w:bookmarkStart w:id="7" w:name="PO_projectName_1"/>
      <w:r>
        <w:rPr>
          <w:rFonts w:hint="eastAsia"/>
          <w:color w:val="auto"/>
          <w:highlight w:val="none"/>
          <w:u w:val="single"/>
          <w:lang w:eastAsia="zh-CN"/>
        </w:rPr>
        <w:t>立达股份应收账款项目</w:t>
      </w:r>
      <w:bookmarkEnd w:id="7"/>
      <w:r>
        <w:rPr>
          <w:color w:val="auto"/>
          <w:highlight w:val="none"/>
          <w:u w:val="single"/>
        </w:rPr>
        <w:t>）</w:t>
      </w:r>
      <w:r>
        <w:rPr>
          <w:rFonts w:hint="eastAsia"/>
          <w:color w:val="auto"/>
          <w:highlight w:val="none"/>
          <w:lang w:eastAsia="zh-CN"/>
        </w:rPr>
        <w:t>招议标</w:t>
      </w:r>
      <w:r>
        <w:rPr>
          <w:color w:val="auto"/>
          <w:highlight w:val="none"/>
        </w:rPr>
        <w:t>人为</w:t>
      </w:r>
      <w:r>
        <w:rPr>
          <w:rFonts w:hint="eastAsia"/>
          <w:color w:val="auto"/>
          <w:highlight w:val="none"/>
          <w:lang w:eastAsia="zh-CN"/>
        </w:rPr>
        <w:t>湘煤立达矿山装备股份有限公司</w:t>
      </w:r>
      <w:r>
        <w:rPr>
          <w:color w:val="auto"/>
          <w:highlight w:val="none"/>
        </w:rPr>
        <w:t>。该项目已具备</w:t>
      </w:r>
      <w:r>
        <w:rPr>
          <w:rFonts w:hint="eastAsia"/>
          <w:color w:val="auto"/>
          <w:highlight w:val="none"/>
          <w:lang w:eastAsia="zh-CN"/>
        </w:rPr>
        <w:t>招议标</w:t>
      </w:r>
      <w:r>
        <w:rPr>
          <w:color w:val="auto"/>
          <w:highlight w:val="none"/>
        </w:rPr>
        <w:t>条件，</w:t>
      </w:r>
      <w:r>
        <w:rPr>
          <w:rFonts w:hint="eastAsia"/>
          <w:color w:val="auto"/>
          <w:highlight w:val="none"/>
          <w:lang w:eastAsia="zh-CN"/>
        </w:rPr>
        <w:t>本次采用</w:t>
      </w:r>
      <w:r>
        <w:rPr>
          <w:color w:val="auto"/>
          <w:highlight w:val="none"/>
        </w:rPr>
        <w:t>公开</w:t>
      </w:r>
      <w:r>
        <w:rPr>
          <w:rFonts w:hint="eastAsia"/>
          <w:color w:val="auto"/>
          <w:highlight w:val="none"/>
          <w:lang w:eastAsia="zh-CN"/>
        </w:rPr>
        <w:t>招议标</w:t>
      </w:r>
      <w:r>
        <w:rPr>
          <w:color w:val="auto"/>
          <w:highlight w:val="none"/>
        </w:rPr>
        <w:t>。</w:t>
      </w:r>
    </w:p>
    <w:p>
      <w:pPr>
        <w:pStyle w:val="4"/>
        <w:ind w:left="-5" w:right="0"/>
        <w:rPr>
          <w:color w:val="auto"/>
          <w:highlight w:val="none"/>
        </w:rPr>
      </w:pPr>
      <w:bookmarkStart w:id="8" w:name="_Toc5295"/>
      <w:r>
        <w:rPr>
          <w:color w:val="auto"/>
          <w:highlight w:val="none"/>
        </w:rPr>
        <w:t>2. 项目概况与</w:t>
      </w:r>
      <w:r>
        <w:rPr>
          <w:rFonts w:hint="eastAsia"/>
          <w:color w:val="auto"/>
          <w:highlight w:val="none"/>
          <w:lang w:eastAsia="zh-CN"/>
        </w:rPr>
        <w:t>招议标</w:t>
      </w:r>
      <w:r>
        <w:rPr>
          <w:color w:val="auto"/>
          <w:highlight w:val="none"/>
        </w:rPr>
        <w:t>范围</w:t>
      </w:r>
      <w:bookmarkEnd w:id="6"/>
      <w:bookmarkEnd w:id="8"/>
    </w:p>
    <w:p>
      <w:pPr>
        <w:keepNext w:val="0"/>
        <w:keepLines w:val="0"/>
        <w:pageBreakBefore w:val="0"/>
        <w:widowControl/>
        <w:kinsoku/>
        <w:wordWrap/>
        <w:overflowPunct/>
        <w:topLinePunct w:val="0"/>
        <w:autoSpaceDE/>
        <w:autoSpaceDN/>
        <w:bidi w:val="0"/>
        <w:adjustRightInd/>
        <w:snapToGrid/>
        <w:spacing w:line="460" w:lineRule="atLeast"/>
        <w:textAlignment w:val="auto"/>
        <w:rPr>
          <w:rFonts w:hint="eastAsia"/>
          <w:lang w:val="en-US" w:eastAsia="zh-CN"/>
        </w:rPr>
      </w:pPr>
      <w:r>
        <w:rPr>
          <w:rFonts w:hint="eastAsia"/>
          <w:lang w:val="en-US" w:eastAsia="zh-CN"/>
        </w:rPr>
        <w:t xml:space="preserve">    为加强公司债权管理，增加流动资金，防止坏账、呆账及债权失效事件发生，确保应收账款按时按质回收，公司决定对难以回收的应收账款以招议标的方式委托具有专业资质的律师团队进行清收。本次招议标范围涉及应收账款共120笔，金额共计12845788.85元。本次招标对委托清欠的货款实行风险代理，公司先期承担的费用（含诉讼费，财产保全费，执行费，鉴定费等需支付给司法行政机构，中介机构等）从律师团队的回款金额中抵扣完，再计算法律服务费；如先期承担的费用由欠款方或第三方承担并兑现，则做相应冲抵。</w:t>
      </w:r>
    </w:p>
    <w:p>
      <w:pPr>
        <w:pStyle w:val="2"/>
      </w:pPr>
    </w:p>
    <w:p>
      <w:pPr>
        <w:pStyle w:val="4"/>
        <w:keepNext w:val="0"/>
        <w:keepLines w:val="0"/>
        <w:widowControl/>
        <w:suppressLineNumbers w:val="0"/>
        <w:ind w:left="-5" w:right="0" w:firstLine="0"/>
        <w:rPr>
          <w:rFonts w:ascii="Tahoma" w:hAnsi="Tahoma" w:eastAsia="Tahoma" w:cs="Tahoma"/>
          <w:i w:val="0"/>
          <w:iCs w:val="0"/>
          <w:caps w:val="0"/>
          <w:color w:val="auto"/>
          <w:spacing w:val="0"/>
        </w:rPr>
      </w:pPr>
      <w:bookmarkStart w:id="9" w:name="_Toc16060"/>
      <w:r>
        <w:rPr>
          <w:rFonts w:hint="default"/>
          <w:color w:val="auto"/>
          <w:highlight w:val="none"/>
        </w:rPr>
        <w:t>3.</w:t>
      </w:r>
      <w:r>
        <w:rPr>
          <w:rFonts w:hint="default" w:ascii="黑体" w:hAnsi="黑体" w:eastAsia="黑体" w:cs="黑体"/>
          <w:color w:val="auto"/>
          <w:kern w:val="2"/>
          <w:sz w:val="32"/>
          <w:szCs w:val="22"/>
          <w:highlight w:val="none"/>
          <w:lang w:val="en-US" w:eastAsia="zh-CN" w:bidi="ar-SA"/>
        </w:rPr>
        <w:t>投标人资格要求</w:t>
      </w:r>
      <w:bookmarkEnd w:id="9"/>
    </w:p>
    <w:p>
      <w:pPr>
        <w:pStyle w:val="17"/>
        <w:keepNext w:val="0"/>
        <w:keepLines w:val="0"/>
        <w:widowControl/>
        <w:suppressLineNumbers w:val="0"/>
        <w:spacing w:before="0" w:beforeAutospacing="0" w:after="0" w:afterAutospacing="0" w:line="460" w:lineRule="atLeast"/>
        <w:ind w:left="0" w:right="0" w:firstLine="420"/>
        <w:rPr>
          <w:rFonts w:hint="eastAsia" w:cs="宋体"/>
          <w:color w:val="auto"/>
          <w:kern w:val="2"/>
          <w:sz w:val="21"/>
          <w:szCs w:val="22"/>
          <w:highlight w:val="none"/>
          <w:lang w:val="en-US" w:eastAsia="zh-CN" w:bidi="ar-SA"/>
        </w:rPr>
      </w:pPr>
      <w:bookmarkStart w:id="10" w:name="PO_qualificationRemark"/>
      <w:r>
        <w:rPr>
          <w:rFonts w:hint="eastAsia" w:cs="宋体"/>
          <w:color w:val="auto"/>
          <w:kern w:val="2"/>
          <w:sz w:val="21"/>
          <w:szCs w:val="22"/>
          <w:highlight w:val="none"/>
          <w:lang w:val="en-US" w:eastAsia="zh-CN" w:bidi="ar-SA"/>
        </w:rPr>
        <w:t>（1）投标人必须是依照《中华人民共和国律师法》成立的律师事务所，且经过司法机关登记。从事本项目的具体人员必须是依法取得执业证书的律师。</w:t>
      </w:r>
    </w:p>
    <w:p>
      <w:pPr>
        <w:pStyle w:val="17"/>
        <w:keepNext w:val="0"/>
        <w:keepLines w:val="0"/>
        <w:widowControl/>
        <w:suppressLineNumbers w:val="0"/>
        <w:spacing w:before="0" w:beforeAutospacing="0" w:after="0" w:afterAutospacing="0" w:line="460" w:lineRule="atLeast"/>
        <w:ind w:left="0" w:right="0" w:firstLine="420"/>
        <w:rPr>
          <w:rFonts w:hint="eastAsia" w:cs="宋体"/>
          <w:color w:val="auto"/>
          <w:kern w:val="2"/>
          <w:sz w:val="21"/>
          <w:szCs w:val="22"/>
          <w:highlight w:val="none"/>
          <w:lang w:val="en-US" w:eastAsia="zh-CN" w:bidi="ar-SA"/>
        </w:rPr>
      </w:pPr>
      <w:r>
        <w:rPr>
          <w:rFonts w:hint="eastAsia" w:cs="宋体"/>
          <w:color w:val="auto"/>
          <w:kern w:val="2"/>
          <w:sz w:val="21"/>
          <w:szCs w:val="22"/>
          <w:highlight w:val="none"/>
          <w:lang w:val="en-US" w:eastAsia="zh-CN" w:bidi="ar-SA"/>
        </w:rPr>
        <w:t>（2）投标人应具备从事应收账款催收的经验。</w:t>
      </w:r>
    </w:p>
    <w:p>
      <w:pPr>
        <w:pStyle w:val="17"/>
        <w:keepNext w:val="0"/>
        <w:keepLines w:val="0"/>
        <w:widowControl/>
        <w:suppressLineNumbers w:val="0"/>
        <w:spacing w:before="0" w:beforeAutospacing="0" w:after="0" w:afterAutospacing="0" w:line="460" w:lineRule="atLeast"/>
        <w:ind w:left="0" w:right="0" w:firstLine="420"/>
        <w:rPr>
          <w:rFonts w:hint="eastAsia" w:cs="宋体"/>
          <w:color w:val="auto"/>
          <w:kern w:val="2"/>
          <w:sz w:val="21"/>
          <w:szCs w:val="22"/>
          <w:highlight w:val="none"/>
          <w:lang w:val="en-US" w:eastAsia="zh-CN" w:bidi="ar-SA"/>
        </w:rPr>
      </w:pPr>
      <w:r>
        <w:rPr>
          <w:rFonts w:hint="eastAsia" w:cs="宋体"/>
          <w:color w:val="auto"/>
          <w:kern w:val="2"/>
          <w:sz w:val="21"/>
          <w:szCs w:val="22"/>
          <w:highlight w:val="none"/>
          <w:lang w:val="en-US" w:eastAsia="zh-CN" w:bidi="ar-SA"/>
        </w:rPr>
        <w:t>（3）投标人应当诚实守信，无不良诚信记录。</w:t>
      </w:r>
    </w:p>
    <w:p>
      <w:pPr>
        <w:pStyle w:val="17"/>
        <w:keepNext w:val="0"/>
        <w:keepLines w:val="0"/>
        <w:widowControl/>
        <w:suppressLineNumbers w:val="0"/>
        <w:spacing w:before="0" w:beforeAutospacing="0" w:after="0" w:afterAutospacing="0" w:line="460" w:lineRule="atLeast"/>
        <w:ind w:left="0" w:right="0" w:firstLine="420"/>
        <w:rPr>
          <w:rFonts w:hint="eastAsia" w:cs="宋体"/>
          <w:color w:val="auto"/>
          <w:kern w:val="2"/>
          <w:sz w:val="21"/>
          <w:szCs w:val="22"/>
          <w:highlight w:val="none"/>
          <w:lang w:val="en-US" w:eastAsia="zh-CN" w:bidi="ar-SA"/>
        </w:rPr>
      </w:pPr>
      <w:r>
        <w:rPr>
          <w:rFonts w:hint="eastAsia" w:cs="宋体"/>
          <w:color w:val="auto"/>
          <w:kern w:val="2"/>
          <w:sz w:val="21"/>
          <w:szCs w:val="22"/>
          <w:highlight w:val="none"/>
          <w:lang w:val="en-US" w:eastAsia="zh-CN" w:bidi="ar-SA"/>
        </w:rPr>
        <w:t xml:space="preserve">（4）遵守国家法律法规，具有良好的信誉和商业道德。 </w:t>
      </w:r>
    </w:p>
    <w:p>
      <w:pPr>
        <w:pStyle w:val="17"/>
        <w:keepNext w:val="0"/>
        <w:keepLines w:val="0"/>
        <w:widowControl/>
        <w:suppressLineNumbers w:val="0"/>
        <w:spacing w:before="0" w:beforeAutospacing="0" w:after="0" w:afterAutospacing="0" w:line="460" w:lineRule="atLeast"/>
        <w:ind w:left="0" w:right="0" w:firstLine="420"/>
        <w:rPr>
          <w:rFonts w:hint="default" w:cs="宋体"/>
          <w:color w:val="auto"/>
          <w:kern w:val="2"/>
          <w:sz w:val="21"/>
          <w:szCs w:val="22"/>
          <w:highlight w:val="none"/>
          <w:lang w:val="en-US" w:eastAsia="zh-CN" w:bidi="ar-SA"/>
        </w:rPr>
      </w:pPr>
      <w:r>
        <w:rPr>
          <w:rFonts w:hint="eastAsia" w:cs="宋体"/>
          <w:color w:val="auto"/>
          <w:kern w:val="2"/>
          <w:sz w:val="21"/>
          <w:szCs w:val="22"/>
          <w:highlight w:val="none"/>
          <w:lang w:val="en-US" w:eastAsia="zh-CN" w:bidi="ar-SA"/>
        </w:rPr>
        <w:t>（5）法律法规规定的其他条件。</w:t>
      </w:r>
      <w:bookmarkEnd w:id="10"/>
    </w:p>
    <w:p>
      <w:pPr>
        <w:pStyle w:val="17"/>
        <w:keepNext w:val="0"/>
        <w:keepLines w:val="0"/>
        <w:widowControl/>
        <w:suppressLineNumbers w:val="0"/>
        <w:spacing w:before="0" w:beforeAutospacing="0" w:after="0" w:afterAutospacing="0" w:line="460" w:lineRule="atLeast"/>
        <w:ind w:left="0" w:right="0" w:firstLine="420"/>
        <w:rPr>
          <w:rFonts w:hint="default" w:ascii="Tahoma" w:hAnsi="Tahoma" w:eastAsia="Tahoma" w:cs="Tahoma"/>
          <w:i w:val="0"/>
          <w:iCs w:val="0"/>
          <w:caps w:val="0"/>
          <w:color w:val="auto"/>
          <w:spacing w:val="0"/>
          <w:sz w:val="18"/>
          <w:szCs w:val="18"/>
        </w:rPr>
      </w:pPr>
    </w:p>
    <w:p>
      <w:pPr>
        <w:spacing w:after="432" w:line="263" w:lineRule="auto"/>
        <w:jc w:val="both"/>
        <w:rPr>
          <w:rFonts w:ascii="黑体" w:hAnsi="黑体" w:eastAsia="黑体" w:cs="黑体"/>
          <w:color w:val="auto"/>
          <w:kern w:val="2"/>
          <w:sz w:val="32"/>
          <w:szCs w:val="22"/>
          <w:highlight w:val="none"/>
          <w:lang w:val="en-US" w:eastAsia="zh-CN" w:bidi="ar-SA"/>
        </w:rPr>
      </w:pPr>
      <w:r>
        <w:rPr>
          <w:rFonts w:ascii="黑体" w:hAnsi="黑体" w:eastAsia="黑体" w:cs="黑体"/>
          <w:color w:val="auto"/>
          <w:kern w:val="2"/>
          <w:sz w:val="32"/>
          <w:szCs w:val="22"/>
          <w:highlight w:val="none"/>
          <w:lang w:val="en-US" w:eastAsia="zh-CN" w:bidi="ar-SA"/>
        </w:rPr>
        <w:t xml:space="preserve">4. </w:t>
      </w:r>
      <w:r>
        <w:rPr>
          <w:rFonts w:hint="eastAsia" w:ascii="黑体" w:hAnsi="黑体" w:eastAsia="黑体" w:cs="黑体"/>
          <w:color w:val="auto"/>
          <w:kern w:val="2"/>
          <w:sz w:val="32"/>
          <w:szCs w:val="22"/>
          <w:highlight w:val="none"/>
          <w:lang w:val="en-US" w:eastAsia="zh-CN" w:bidi="ar-SA"/>
        </w:rPr>
        <w:t>招议标</w:t>
      </w:r>
      <w:r>
        <w:rPr>
          <w:rFonts w:ascii="黑体" w:hAnsi="黑体" w:eastAsia="黑体" w:cs="黑体"/>
          <w:color w:val="auto"/>
          <w:kern w:val="2"/>
          <w:sz w:val="32"/>
          <w:szCs w:val="22"/>
          <w:highlight w:val="none"/>
          <w:lang w:val="en-US" w:eastAsia="zh-CN" w:bidi="ar-SA"/>
        </w:rPr>
        <w:t>文件的获取</w:t>
      </w:r>
    </w:p>
    <w:p>
      <w:pPr>
        <w:pStyle w:val="17"/>
        <w:keepNext w:val="0"/>
        <w:keepLines w:val="0"/>
        <w:widowControl/>
        <w:suppressLineNumbers w:val="0"/>
        <w:spacing w:before="75" w:beforeAutospacing="0" w:after="0" w:afterAutospacing="0" w:line="460" w:lineRule="atLeast"/>
        <w:ind w:left="420" w:leftChars="0" w:right="0" w:firstLine="420" w:firstLineChars="0"/>
        <w:rPr>
          <w:rFonts w:hint="default" w:ascii="宋体" w:hAnsi="宋体" w:eastAsia="宋体" w:cs="宋体"/>
          <w:color w:val="auto"/>
          <w:kern w:val="2"/>
          <w:sz w:val="21"/>
          <w:szCs w:val="21"/>
          <w:highlight w:val="none"/>
          <w:lang w:val="en-US" w:eastAsia="zh-CN" w:bidi="ar-SA"/>
        </w:rPr>
      </w:pPr>
      <w:bookmarkStart w:id="11" w:name="_Toc20034"/>
      <w:r>
        <w:rPr>
          <w:rFonts w:hint="eastAsia"/>
          <w:color w:val="auto"/>
          <w:sz w:val="21"/>
          <w:szCs w:val="21"/>
          <w:highlight w:val="none"/>
        </w:rPr>
        <w:t>凡有意参加投标者，请于</w:t>
      </w:r>
      <w:bookmarkStart w:id="12" w:name="PO_applyEndTime"/>
      <w:r>
        <w:rPr>
          <w:rFonts w:hint="eastAsia"/>
          <w:color w:val="auto"/>
          <w:sz w:val="21"/>
          <w:szCs w:val="21"/>
          <w:highlight w:val="none"/>
          <w:lang w:eastAsia="zh-CN"/>
        </w:rPr>
        <w:t>2022年0</w:t>
      </w:r>
      <w:r>
        <w:rPr>
          <w:rFonts w:hint="eastAsia"/>
          <w:color w:val="auto"/>
          <w:sz w:val="21"/>
          <w:szCs w:val="21"/>
          <w:highlight w:val="none"/>
          <w:lang w:val="en-US" w:eastAsia="zh-CN"/>
        </w:rPr>
        <w:t>7</w:t>
      </w:r>
      <w:r>
        <w:rPr>
          <w:rFonts w:hint="eastAsia"/>
          <w:color w:val="auto"/>
          <w:sz w:val="21"/>
          <w:szCs w:val="21"/>
          <w:highlight w:val="none"/>
          <w:lang w:eastAsia="zh-CN"/>
        </w:rPr>
        <w:t>月</w:t>
      </w:r>
      <w:r>
        <w:rPr>
          <w:rFonts w:hint="eastAsia"/>
          <w:color w:val="auto"/>
          <w:sz w:val="21"/>
          <w:szCs w:val="21"/>
          <w:highlight w:val="none"/>
          <w:lang w:val="en-US" w:eastAsia="zh-CN"/>
        </w:rPr>
        <w:t>25</w:t>
      </w:r>
      <w:r>
        <w:rPr>
          <w:rFonts w:hint="eastAsia"/>
          <w:color w:val="auto"/>
          <w:sz w:val="21"/>
          <w:szCs w:val="21"/>
          <w:highlight w:val="none"/>
          <w:lang w:eastAsia="zh-CN"/>
        </w:rPr>
        <w:t>日17:00:00时</w:t>
      </w:r>
      <w:bookmarkEnd w:id="12"/>
      <w:r>
        <w:rPr>
          <w:rFonts w:hint="eastAsia"/>
          <w:color w:val="auto"/>
          <w:sz w:val="21"/>
          <w:szCs w:val="21"/>
          <w:highlight w:val="none"/>
        </w:rPr>
        <w:t>（北京时间</w:t>
      </w:r>
      <w:r>
        <w:rPr>
          <w:rFonts w:hint="eastAsia"/>
          <w:color w:val="auto"/>
          <w:sz w:val="21"/>
          <w:szCs w:val="21"/>
          <w:highlight w:val="none"/>
          <w:lang w:eastAsia="zh-CN"/>
        </w:rPr>
        <w:t>，法定公休日、法定节假日除外）前联系公司风险控制部田丰粮（电话</w:t>
      </w:r>
      <w:r>
        <w:rPr>
          <w:rFonts w:hint="eastAsia"/>
          <w:color w:val="auto"/>
          <w:sz w:val="21"/>
          <w:szCs w:val="21"/>
          <w:highlight w:val="none"/>
          <w:lang w:val="en-US" w:eastAsia="zh-CN"/>
        </w:rPr>
        <w:t>13469036495</w:t>
      </w:r>
      <w:r>
        <w:rPr>
          <w:rFonts w:hint="eastAsia"/>
          <w:color w:val="auto"/>
          <w:sz w:val="21"/>
          <w:szCs w:val="21"/>
          <w:highlight w:val="none"/>
          <w:lang w:eastAsia="zh-CN"/>
        </w:rPr>
        <w:t>）获取本次招议标应收账款清单。</w:t>
      </w:r>
    </w:p>
    <w:p>
      <w:pPr>
        <w:rPr>
          <w:rFonts w:hint="default"/>
          <w:color w:val="auto"/>
          <w:highlight w:val="none"/>
          <w:lang w:val="en-US" w:eastAsia="zh-CN"/>
        </w:rPr>
      </w:pPr>
    </w:p>
    <w:p>
      <w:pPr>
        <w:pStyle w:val="4"/>
        <w:ind w:left="-5" w:right="0"/>
        <w:rPr>
          <w:color w:val="auto"/>
          <w:highlight w:val="none"/>
          <w:u w:val="none"/>
        </w:rPr>
      </w:pPr>
      <w:bookmarkStart w:id="13" w:name="_Toc25205"/>
      <w:r>
        <w:rPr>
          <w:rFonts w:ascii="Times New Roman" w:hAnsi="Times New Roman" w:eastAsia="Times New Roman" w:cs="Times New Roman"/>
          <w:b/>
          <w:color w:val="auto"/>
          <w:highlight w:val="none"/>
        </w:rPr>
        <w:t xml:space="preserve">5. </w:t>
      </w:r>
      <w:r>
        <w:rPr>
          <w:color w:val="auto"/>
          <w:highlight w:val="none"/>
        </w:rPr>
        <w:t>投标文件的递交</w:t>
      </w:r>
      <w:bookmarkEnd w:id="11"/>
      <w:bookmarkEnd w:id="13"/>
    </w:p>
    <w:p>
      <w:pPr>
        <w:keepNext w:val="0"/>
        <w:keepLines w:val="0"/>
        <w:pageBreakBefore w:val="0"/>
        <w:widowControl/>
        <w:tabs>
          <w:tab w:val="center" w:pos="3251"/>
          <w:tab w:val="center" w:pos="7132"/>
          <w:tab w:val="right" w:pos="8895"/>
        </w:tabs>
        <w:kinsoku/>
        <w:wordWrap/>
        <w:overflowPunct/>
        <w:topLinePunct w:val="0"/>
        <w:autoSpaceDE/>
        <w:autoSpaceDN/>
        <w:bidi w:val="0"/>
        <w:adjustRightInd/>
        <w:snapToGrid/>
        <w:spacing w:after="0" w:line="460" w:lineRule="exact"/>
        <w:ind w:left="0" w:firstLine="420" w:firstLineChars="200"/>
        <w:textAlignment w:val="auto"/>
        <w:rPr>
          <w:color w:val="auto"/>
          <w:highlight w:val="none"/>
          <w:u w:val="none"/>
        </w:rPr>
      </w:pPr>
      <w:r>
        <w:rPr>
          <w:color w:val="auto"/>
          <w:highlight w:val="none"/>
          <w:u w:val="none"/>
        </w:rPr>
        <w:t>投标文件递交的截止时间（投标截止时间，下同）为</w:t>
      </w:r>
      <w:bookmarkStart w:id="14" w:name="PO_uploadEndTime"/>
      <w:r>
        <w:rPr>
          <w:rFonts w:hint="eastAsia"/>
          <w:color w:val="auto"/>
          <w:highlight w:val="none"/>
          <w:u w:val="none"/>
          <w:lang w:eastAsia="zh-CN"/>
        </w:rPr>
        <w:t>2022年0</w:t>
      </w:r>
      <w:r>
        <w:rPr>
          <w:rFonts w:hint="eastAsia"/>
          <w:color w:val="auto"/>
          <w:highlight w:val="none"/>
          <w:u w:val="none"/>
          <w:lang w:val="en-US" w:eastAsia="zh-CN"/>
        </w:rPr>
        <w:t>8</w:t>
      </w:r>
      <w:r>
        <w:rPr>
          <w:rFonts w:hint="eastAsia"/>
          <w:color w:val="auto"/>
          <w:highlight w:val="none"/>
          <w:u w:val="none"/>
          <w:lang w:eastAsia="zh-CN"/>
        </w:rPr>
        <w:t>月</w:t>
      </w:r>
      <w:r>
        <w:rPr>
          <w:rFonts w:hint="eastAsia"/>
          <w:color w:val="auto"/>
          <w:highlight w:val="none"/>
          <w:u w:val="none"/>
          <w:lang w:val="en-US" w:eastAsia="zh-CN"/>
        </w:rPr>
        <w:t>3</w:t>
      </w:r>
      <w:r>
        <w:rPr>
          <w:rFonts w:hint="eastAsia"/>
          <w:color w:val="auto"/>
          <w:highlight w:val="none"/>
          <w:u w:val="none"/>
          <w:lang w:eastAsia="zh-CN"/>
        </w:rPr>
        <w:t>日1</w:t>
      </w:r>
      <w:r>
        <w:rPr>
          <w:rFonts w:hint="eastAsia"/>
          <w:color w:val="auto"/>
          <w:highlight w:val="none"/>
          <w:u w:val="none"/>
          <w:lang w:val="en-US" w:eastAsia="zh-CN"/>
        </w:rPr>
        <w:t>7</w:t>
      </w:r>
      <w:r>
        <w:rPr>
          <w:rFonts w:hint="eastAsia"/>
          <w:color w:val="auto"/>
          <w:highlight w:val="none"/>
          <w:u w:val="none"/>
          <w:lang w:eastAsia="zh-CN"/>
        </w:rPr>
        <w:t>:00:00时</w:t>
      </w:r>
      <w:bookmarkEnd w:id="14"/>
      <w:r>
        <w:rPr>
          <w:rFonts w:hint="eastAsia"/>
          <w:color w:val="auto"/>
          <w:highlight w:val="none"/>
          <w:u w:val="none"/>
          <w:lang w:val="en-US" w:eastAsia="zh-CN"/>
        </w:rPr>
        <w:t xml:space="preserve"> </w:t>
      </w:r>
      <w:r>
        <w:rPr>
          <w:color w:val="auto"/>
          <w:highlight w:val="none"/>
          <w:u w:val="none"/>
        </w:rPr>
        <w:t>，投标人应在截止时间前</w:t>
      </w:r>
      <w:r>
        <w:rPr>
          <w:rFonts w:hint="eastAsia"/>
          <w:color w:val="auto"/>
          <w:highlight w:val="none"/>
          <w:u w:val="none"/>
          <w:lang w:eastAsia="zh-CN"/>
        </w:rPr>
        <w:t>向联系人田丰粮（电话</w:t>
      </w:r>
      <w:r>
        <w:rPr>
          <w:rFonts w:hint="eastAsia"/>
          <w:color w:val="auto"/>
          <w:highlight w:val="none"/>
          <w:u w:val="none"/>
          <w:lang w:val="en-US" w:eastAsia="zh-CN"/>
        </w:rPr>
        <w:t>13469036495</w:t>
      </w:r>
      <w:r>
        <w:rPr>
          <w:rFonts w:hint="eastAsia"/>
          <w:color w:val="auto"/>
          <w:highlight w:val="none"/>
          <w:u w:val="none"/>
          <w:lang w:eastAsia="zh-CN"/>
        </w:rPr>
        <w:t>）</w:t>
      </w:r>
      <w:r>
        <w:rPr>
          <w:color w:val="auto"/>
          <w:highlight w:val="none"/>
          <w:u w:val="none"/>
        </w:rPr>
        <w:t>递交电子投标文件。逾期送达的投标文件，</w:t>
      </w:r>
      <w:r>
        <w:rPr>
          <w:rFonts w:hint="eastAsia"/>
          <w:color w:val="auto"/>
          <w:highlight w:val="none"/>
          <w:u w:val="none"/>
          <w:lang w:eastAsia="zh-CN"/>
        </w:rPr>
        <w:t>公司</w:t>
      </w:r>
      <w:r>
        <w:rPr>
          <w:color w:val="auto"/>
          <w:highlight w:val="none"/>
          <w:u w:val="none"/>
        </w:rPr>
        <w:t>予以拒收。</w:t>
      </w:r>
    </w:p>
    <w:p>
      <w:pPr>
        <w:keepNext w:val="0"/>
        <w:keepLines w:val="0"/>
        <w:pageBreakBefore w:val="0"/>
        <w:widowControl/>
        <w:tabs>
          <w:tab w:val="center" w:pos="3251"/>
          <w:tab w:val="center" w:pos="7132"/>
          <w:tab w:val="right" w:pos="8895"/>
        </w:tabs>
        <w:kinsoku/>
        <w:wordWrap/>
        <w:overflowPunct/>
        <w:topLinePunct w:val="0"/>
        <w:autoSpaceDE/>
        <w:autoSpaceDN/>
        <w:bidi w:val="0"/>
        <w:adjustRightInd/>
        <w:snapToGrid/>
        <w:spacing w:after="0" w:line="460" w:lineRule="exact"/>
        <w:ind w:left="0" w:firstLine="420" w:firstLineChars="200"/>
        <w:textAlignment w:val="auto"/>
        <w:rPr>
          <w:color w:val="auto"/>
          <w:highlight w:val="none"/>
          <w:u w:val="none"/>
        </w:rPr>
      </w:pPr>
    </w:p>
    <w:p>
      <w:pPr>
        <w:pStyle w:val="4"/>
        <w:spacing w:after="311"/>
        <w:ind w:left="-5" w:right="0"/>
        <w:rPr>
          <w:color w:val="auto"/>
          <w:highlight w:val="none"/>
        </w:rPr>
      </w:pPr>
      <w:bookmarkStart w:id="15" w:name="_Toc15728"/>
      <w:bookmarkStart w:id="16" w:name="_Toc9181"/>
      <w:r>
        <w:rPr>
          <w:rFonts w:ascii="Times New Roman" w:hAnsi="Times New Roman" w:eastAsia="Times New Roman" w:cs="Times New Roman"/>
          <w:b/>
          <w:color w:val="auto"/>
          <w:highlight w:val="none"/>
        </w:rPr>
        <w:t xml:space="preserve">6. </w:t>
      </w:r>
      <w:r>
        <w:rPr>
          <w:color w:val="auto"/>
          <w:highlight w:val="none"/>
        </w:rPr>
        <w:t>开标时间及地点</w:t>
      </w:r>
      <w:bookmarkEnd w:id="15"/>
      <w:bookmarkEnd w:id="16"/>
    </w:p>
    <w:p>
      <w:pPr>
        <w:spacing w:after="202"/>
        <w:ind w:left="429"/>
        <w:rPr>
          <w:color w:val="auto"/>
          <w:highlight w:val="none"/>
        </w:rPr>
      </w:pPr>
      <w:r>
        <w:rPr>
          <w:color w:val="auto"/>
          <w:highlight w:val="none"/>
        </w:rPr>
        <w:t>开标时间：</w:t>
      </w:r>
      <w:bookmarkStart w:id="17" w:name="PO_openTime_2"/>
      <w:r>
        <w:rPr>
          <w:rFonts w:hint="eastAsia"/>
          <w:color w:val="auto"/>
          <w:highlight w:val="none"/>
          <w:lang w:eastAsia="zh-CN"/>
        </w:rPr>
        <w:t>2022年0</w:t>
      </w:r>
      <w:r>
        <w:rPr>
          <w:rFonts w:hint="eastAsia"/>
          <w:color w:val="auto"/>
          <w:highlight w:val="none"/>
          <w:lang w:val="en-US" w:eastAsia="zh-CN"/>
        </w:rPr>
        <w:t>8</w:t>
      </w:r>
      <w:r>
        <w:rPr>
          <w:rFonts w:hint="eastAsia"/>
          <w:color w:val="auto"/>
          <w:highlight w:val="none"/>
          <w:lang w:eastAsia="zh-CN"/>
        </w:rPr>
        <w:t>月</w:t>
      </w:r>
      <w:r>
        <w:rPr>
          <w:rFonts w:hint="eastAsia"/>
          <w:color w:val="auto"/>
          <w:highlight w:val="none"/>
          <w:lang w:val="en-US" w:eastAsia="zh-CN"/>
        </w:rPr>
        <w:t>5</w:t>
      </w:r>
      <w:r>
        <w:rPr>
          <w:rFonts w:hint="eastAsia"/>
          <w:color w:val="auto"/>
          <w:highlight w:val="none"/>
          <w:lang w:eastAsia="zh-CN"/>
        </w:rPr>
        <w:t>日09:00</w:t>
      </w:r>
      <w:bookmarkEnd w:id="17"/>
      <w:r>
        <w:rPr>
          <w:color w:val="auto"/>
          <w:highlight w:val="none"/>
        </w:rPr>
        <w:t>。</w:t>
      </w:r>
    </w:p>
    <w:p>
      <w:pPr>
        <w:spacing w:after="460" w:line="263" w:lineRule="auto"/>
        <w:ind w:left="415" w:hanging="10"/>
        <w:jc w:val="both"/>
        <w:rPr>
          <w:color w:val="auto"/>
          <w:highlight w:val="none"/>
        </w:rPr>
      </w:pPr>
      <w:r>
        <w:rPr>
          <w:color w:val="auto"/>
          <w:highlight w:val="none"/>
        </w:rPr>
        <w:t>开标地点：</w:t>
      </w:r>
      <w:r>
        <w:rPr>
          <w:rFonts w:hint="eastAsia"/>
          <w:color w:val="auto"/>
          <w:highlight w:val="none"/>
          <w:lang w:eastAsia="zh-CN"/>
        </w:rPr>
        <w:t>湘煤立达矿山装备股份有限公司五楼会议室</w:t>
      </w:r>
      <w:r>
        <w:rPr>
          <w:color w:val="auto"/>
          <w:highlight w:val="none"/>
        </w:rPr>
        <w:t>。</w:t>
      </w:r>
    </w:p>
    <w:p>
      <w:pPr>
        <w:pStyle w:val="4"/>
        <w:spacing w:after="315"/>
        <w:ind w:left="-5" w:right="0"/>
        <w:rPr>
          <w:color w:val="auto"/>
          <w:highlight w:val="none"/>
        </w:rPr>
      </w:pPr>
      <w:bookmarkStart w:id="18" w:name="_Toc25436"/>
      <w:bookmarkStart w:id="19" w:name="_Toc17858"/>
      <w:r>
        <w:rPr>
          <w:rFonts w:ascii="Times New Roman" w:hAnsi="Times New Roman" w:eastAsia="Times New Roman" w:cs="Times New Roman"/>
          <w:b/>
          <w:color w:val="auto"/>
          <w:highlight w:val="none"/>
        </w:rPr>
        <w:t xml:space="preserve">7. </w:t>
      </w:r>
      <w:r>
        <w:rPr>
          <w:color w:val="auto"/>
          <w:highlight w:val="none"/>
        </w:rPr>
        <w:t>评标办法</w:t>
      </w:r>
      <w:bookmarkEnd w:id="18"/>
      <w:bookmarkEnd w:id="19"/>
    </w:p>
    <w:p>
      <w:pPr>
        <w:spacing w:after="461"/>
        <w:ind w:left="429"/>
        <w:rPr>
          <w:color w:val="auto"/>
          <w:highlight w:val="none"/>
        </w:rPr>
      </w:pPr>
      <w:r>
        <w:rPr>
          <w:color w:val="auto"/>
          <w:highlight w:val="none"/>
        </w:rPr>
        <w:t>本项目评标办法采用综合评估法</w:t>
      </w:r>
      <w:r>
        <w:rPr>
          <w:rFonts w:hint="eastAsia"/>
          <w:color w:val="auto"/>
          <w:highlight w:val="none"/>
          <w:lang w:val="en-US" w:eastAsia="zh-CN"/>
        </w:rPr>
        <w:t>I</w:t>
      </w:r>
      <w:r>
        <w:rPr>
          <w:rFonts w:hint="eastAsia"/>
          <w:color w:val="auto"/>
          <w:highlight w:val="none"/>
        </w:rPr>
        <w:t>。</w:t>
      </w:r>
    </w:p>
    <w:p>
      <w:pPr>
        <w:pStyle w:val="4"/>
        <w:spacing w:after="313"/>
        <w:ind w:left="-5" w:right="0"/>
        <w:rPr>
          <w:color w:val="auto"/>
          <w:highlight w:val="none"/>
        </w:rPr>
      </w:pPr>
      <w:bookmarkStart w:id="20" w:name="_Toc15726"/>
      <w:bookmarkStart w:id="21" w:name="_Toc30377"/>
      <w:r>
        <w:rPr>
          <w:rFonts w:ascii="Times New Roman" w:hAnsi="Times New Roman" w:eastAsia="Times New Roman" w:cs="Times New Roman"/>
          <w:b/>
          <w:color w:val="auto"/>
          <w:highlight w:val="none"/>
        </w:rPr>
        <w:t xml:space="preserve">8. </w:t>
      </w:r>
      <w:r>
        <w:rPr>
          <w:color w:val="auto"/>
          <w:highlight w:val="none"/>
        </w:rPr>
        <w:t>发布公告的媒介</w:t>
      </w:r>
      <w:bookmarkEnd w:id="20"/>
      <w:bookmarkEnd w:id="21"/>
    </w:p>
    <w:p>
      <w:pPr>
        <w:tabs>
          <w:tab w:val="center" w:pos="2519"/>
          <w:tab w:val="right" w:pos="8895"/>
        </w:tabs>
        <w:spacing w:after="469"/>
        <w:ind w:left="0" w:firstLine="440" w:firstLineChars="200"/>
        <w:rPr>
          <w:color w:val="auto"/>
          <w:highlight w:val="none"/>
        </w:rPr>
      </w:pPr>
      <w:r>
        <w:rPr>
          <w:rFonts w:ascii="Calibri" w:hAnsi="Calibri" w:eastAsia="Calibri" w:cs="Calibri"/>
          <w:color w:val="auto"/>
          <w:sz w:val="22"/>
          <w:highlight w:val="none"/>
        </w:rPr>
        <w:tab/>
      </w:r>
      <w:r>
        <w:rPr>
          <w:color w:val="auto"/>
          <w:highlight w:val="none"/>
        </w:rPr>
        <w:t>本次</w:t>
      </w:r>
      <w:r>
        <w:rPr>
          <w:rFonts w:hint="eastAsia"/>
          <w:color w:val="auto"/>
          <w:highlight w:val="none"/>
          <w:lang w:eastAsia="zh-CN"/>
        </w:rPr>
        <w:t>招议标</w:t>
      </w:r>
      <w:r>
        <w:rPr>
          <w:color w:val="auto"/>
          <w:highlight w:val="none"/>
        </w:rPr>
        <w:t>公告同时在</w:t>
      </w:r>
      <w:r>
        <w:rPr>
          <w:rFonts w:hint="eastAsia"/>
          <w:color w:val="auto"/>
          <w:highlight w:val="none"/>
          <w:lang w:eastAsia="zh-CN"/>
        </w:rPr>
        <w:t>湘煤立达矿山装备股份有限公司官网（http://www.xmldks.com/）</w:t>
      </w:r>
      <w:r>
        <w:rPr>
          <w:color w:val="auto"/>
          <w:highlight w:val="none"/>
        </w:rPr>
        <w:t>上发布。</w:t>
      </w:r>
    </w:p>
    <w:p>
      <w:pPr>
        <w:pStyle w:val="4"/>
        <w:spacing w:after="0" w:line="240" w:lineRule="auto"/>
        <w:ind w:left="-5" w:right="0"/>
        <w:rPr>
          <w:color w:val="auto"/>
          <w:highlight w:val="none"/>
        </w:rPr>
      </w:pPr>
      <w:bookmarkStart w:id="22" w:name="_Toc25296"/>
      <w:r>
        <w:rPr>
          <w:rFonts w:hint="eastAsia" w:ascii="Times New Roman" w:hAnsi="Times New Roman" w:eastAsia="宋体" w:cs="Times New Roman"/>
          <w:b/>
          <w:color w:val="auto"/>
          <w:highlight w:val="none"/>
          <w:lang w:val="en-US" w:eastAsia="zh-CN"/>
        </w:rPr>
        <w:t>9</w:t>
      </w:r>
      <w:r>
        <w:rPr>
          <w:rFonts w:hint="default"/>
          <w:color w:val="auto"/>
          <w:highlight w:val="none"/>
        </w:rPr>
        <w:t>.监督</w:t>
      </w:r>
      <w:bookmarkEnd w:id="22"/>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20"/>
        <w:jc w:val="left"/>
        <w:rPr>
          <w:rFonts w:hint="default" w:ascii="宋体" w:hAnsi="宋体" w:eastAsia="宋体" w:cs="宋体"/>
          <w:color w:val="auto"/>
          <w:kern w:val="2"/>
          <w:sz w:val="21"/>
          <w:szCs w:val="22"/>
          <w:highlight w:val="none"/>
          <w:lang w:val="en-US" w:eastAsia="zh-CN" w:bidi="ar-SA"/>
        </w:rPr>
      </w:pPr>
      <w:r>
        <w:rPr>
          <w:rFonts w:hint="default" w:ascii="宋体" w:hAnsi="宋体" w:eastAsia="宋体" w:cs="宋体"/>
          <w:color w:val="auto"/>
          <w:kern w:val="2"/>
          <w:sz w:val="21"/>
          <w:szCs w:val="22"/>
          <w:highlight w:val="none"/>
          <w:lang w:val="en-US" w:eastAsia="zh-CN" w:bidi="ar-SA"/>
        </w:rPr>
        <w:t>本次招议标活动接受</w:t>
      </w:r>
      <w:r>
        <w:rPr>
          <w:rFonts w:hint="eastAsia" w:cs="宋体"/>
          <w:color w:val="auto"/>
          <w:kern w:val="2"/>
          <w:sz w:val="21"/>
          <w:szCs w:val="22"/>
          <w:highlight w:val="none"/>
          <w:lang w:val="en-US" w:eastAsia="zh-CN" w:bidi="ar-SA"/>
        </w:rPr>
        <w:t>湘煤立达矿山装备股份有限公司纪检监察部的监督</w:t>
      </w:r>
      <w:r>
        <w:rPr>
          <w:rFonts w:hint="default" w:ascii="宋体" w:hAnsi="宋体" w:eastAsia="宋体" w:cs="宋体"/>
          <w:color w:val="auto"/>
          <w:kern w:val="2"/>
          <w:sz w:val="21"/>
          <w:szCs w:val="22"/>
          <w:highlight w:val="none"/>
          <w:lang w:val="en-US" w:eastAsia="zh-CN" w:bidi="ar-SA"/>
        </w:rPr>
        <w:t>，联系方式：</w:t>
      </w:r>
      <w:r>
        <w:rPr>
          <w:rFonts w:hint="eastAsia" w:cs="宋体"/>
          <w:color w:val="auto"/>
          <w:kern w:val="2"/>
          <w:sz w:val="21"/>
          <w:szCs w:val="22"/>
          <w:highlight w:val="none"/>
          <w:lang w:val="en-US" w:eastAsia="zh-CN" w:bidi="ar-SA"/>
        </w:rPr>
        <w:t>湘煤立达矿山装备股份有限公司纪检</w:t>
      </w:r>
      <w:r>
        <w:rPr>
          <w:rFonts w:hint="default" w:ascii="宋体" w:hAnsi="宋体" w:eastAsia="宋体" w:cs="宋体"/>
          <w:color w:val="auto"/>
          <w:kern w:val="2"/>
          <w:sz w:val="21"/>
          <w:szCs w:val="22"/>
          <w:highlight w:val="none"/>
          <w:lang w:val="en-US" w:eastAsia="zh-CN" w:bidi="ar-SA"/>
        </w:rPr>
        <w:t>监察部门：0731-</w:t>
      </w:r>
      <w:r>
        <w:rPr>
          <w:rFonts w:hint="eastAsia" w:cs="宋体"/>
          <w:color w:val="auto"/>
          <w:kern w:val="2"/>
          <w:sz w:val="21"/>
          <w:szCs w:val="22"/>
          <w:highlight w:val="none"/>
          <w:lang w:val="en-US" w:eastAsia="zh-CN" w:bidi="ar-SA"/>
        </w:rPr>
        <w:t>22980859</w:t>
      </w:r>
      <w:r>
        <w:rPr>
          <w:rFonts w:hint="default" w:ascii="宋体" w:hAnsi="宋体" w:eastAsia="宋体" w:cs="宋体"/>
          <w:color w:val="auto"/>
          <w:kern w:val="2"/>
          <w:sz w:val="21"/>
          <w:szCs w:val="22"/>
          <w:highlight w:val="none"/>
          <w:lang w:val="en-US" w:eastAsia="zh-CN" w:bidi="ar-SA"/>
        </w:rPr>
        <w:t xml:space="preserve"> </w:t>
      </w:r>
      <w:r>
        <w:rPr>
          <w:rFonts w:hint="default" w:ascii="宋体" w:hAnsi="宋体" w:eastAsia="宋体" w:cs="宋体"/>
          <w:color w:val="auto"/>
          <w:kern w:val="2"/>
          <w:sz w:val="21"/>
          <w:szCs w:val="22"/>
          <w:highlight w:val="none"/>
          <w:lang w:val="en-US" w:eastAsia="zh-CN" w:bidi="ar-SA"/>
        </w:rPr>
        <w:t> </w:t>
      </w:r>
      <w:r>
        <w:rPr>
          <w:rFonts w:hint="eastAsia" w:cs="宋体"/>
          <w:color w:val="auto"/>
          <w:kern w:val="2"/>
          <w:sz w:val="21"/>
          <w:szCs w:val="22"/>
          <w:highlight w:val="none"/>
          <w:lang w:val="en-US" w:eastAsia="zh-CN" w:bidi="ar-SA"/>
        </w:rPr>
        <w:t>。</w:t>
      </w:r>
      <w:r>
        <w:rPr>
          <w:rFonts w:hint="default" w:ascii="宋体" w:hAnsi="宋体" w:eastAsia="宋体" w:cs="宋体"/>
          <w:color w:val="auto"/>
          <w:kern w:val="2"/>
          <w:sz w:val="21"/>
          <w:szCs w:val="22"/>
          <w:highlight w:val="none"/>
          <w:lang w:val="en-US" w:eastAsia="zh-CN" w:bidi="ar-SA"/>
        </w:rPr>
        <w:t>  </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leftChars="0" w:right="0" w:firstLine="0" w:firstLineChars="0"/>
        <w:jc w:val="left"/>
        <w:rPr>
          <w:rFonts w:hint="default" w:ascii="宋体" w:hAnsi="宋体" w:eastAsia="宋体" w:cs="宋体"/>
          <w:color w:val="auto"/>
          <w:kern w:val="2"/>
          <w:sz w:val="21"/>
          <w:szCs w:val="22"/>
          <w:highlight w:val="none"/>
          <w:lang w:val="en-US" w:eastAsia="zh-CN" w:bidi="ar-SA"/>
        </w:rPr>
      </w:pPr>
    </w:p>
    <w:p>
      <w:pPr>
        <w:pStyle w:val="4"/>
        <w:keepNext w:val="0"/>
        <w:keepLines w:val="0"/>
        <w:widowControl/>
        <w:suppressLineNumbers w:val="0"/>
        <w:ind w:left="-5" w:right="0" w:firstLine="0"/>
        <w:rPr>
          <w:rFonts w:ascii="Tahoma" w:hAnsi="Tahoma" w:eastAsia="Tahoma" w:cs="Tahoma"/>
          <w:i w:val="0"/>
          <w:iCs w:val="0"/>
          <w:caps w:val="0"/>
          <w:color w:val="auto"/>
          <w:spacing w:val="0"/>
        </w:rPr>
      </w:pPr>
      <w:bookmarkStart w:id="23" w:name="_Toc2357"/>
      <w:r>
        <w:rPr>
          <w:rFonts w:hint="default" w:ascii="Times New Roman" w:hAnsi="Times New Roman" w:eastAsia="宋体" w:cs="Times New Roman"/>
          <w:b/>
          <w:color w:val="auto"/>
          <w:highlight w:val="none"/>
          <w:lang w:val="en-US" w:eastAsia="zh-CN"/>
        </w:rPr>
        <w:t>1</w:t>
      </w:r>
      <w:r>
        <w:rPr>
          <w:rFonts w:hint="eastAsia" w:ascii="Times New Roman" w:hAnsi="Times New Roman" w:eastAsia="宋体" w:cs="Times New Roman"/>
          <w:b/>
          <w:color w:val="auto"/>
          <w:highlight w:val="none"/>
          <w:lang w:val="en-US" w:eastAsia="zh-CN"/>
        </w:rPr>
        <w:t>0</w:t>
      </w:r>
      <w:r>
        <w:rPr>
          <w:rFonts w:hint="default" w:ascii="Times New Roman" w:hAnsi="Times New Roman" w:eastAsia="宋体" w:cs="Times New Roman"/>
          <w:b/>
          <w:color w:val="auto"/>
          <w:highlight w:val="none"/>
          <w:lang w:val="en-US" w:eastAsia="zh-CN"/>
        </w:rPr>
        <w:t>.</w:t>
      </w:r>
      <w:r>
        <w:rPr>
          <w:rFonts w:hint="default" w:ascii="Tahoma" w:hAnsi="Tahoma" w:eastAsia="Tahoma" w:cs="Tahoma"/>
          <w:b/>
          <w:bCs/>
          <w:i w:val="0"/>
          <w:iCs w:val="0"/>
          <w:caps w:val="0"/>
          <w:color w:val="auto"/>
          <w:spacing w:val="0"/>
        </w:rPr>
        <w:t>联系方式</w:t>
      </w:r>
      <w:bookmarkEnd w:id="23"/>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20"/>
        <w:jc w:val="left"/>
        <w:rPr>
          <w:rFonts w:hint="default" w:ascii="宋体" w:hAnsi="宋体" w:eastAsia="宋体" w:cs="宋体"/>
          <w:color w:val="auto"/>
          <w:kern w:val="2"/>
          <w:sz w:val="21"/>
          <w:szCs w:val="22"/>
          <w:highlight w:val="none"/>
          <w:lang w:val="en-US" w:eastAsia="zh-CN" w:bidi="ar-SA"/>
        </w:rPr>
      </w:pPr>
      <w:r>
        <w:rPr>
          <w:rFonts w:hint="default" w:ascii="宋体" w:hAnsi="宋体" w:eastAsia="宋体" w:cs="宋体"/>
          <w:color w:val="auto"/>
          <w:kern w:val="2"/>
          <w:sz w:val="21"/>
          <w:szCs w:val="22"/>
          <w:highlight w:val="none"/>
          <w:lang w:val="en-US" w:eastAsia="zh-CN" w:bidi="ar-SA"/>
        </w:rPr>
        <w:t>招议标人名称：</w:t>
      </w:r>
      <w:bookmarkStart w:id="24" w:name="PO_projectOfficeName_2"/>
      <w:r>
        <w:rPr>
          <w:rFonts w:hint="eastAsia" w:cs="宋体"/>
          <w:color w:val="auto"/>
          <w:kern w:val="2"/>
          <w:sz w:val="21"/>
          <w:szCs w:val="22"/>
          <w:highlight w:val="none"/>
          <w:lang w:val="en-US" w:eastAsia="zh-CN" w:bidi="ar-SA"/>
        </w:rPr>
        <w:t>湘煤立达矿山装备股份有限公司</w:t>
      </w:r>
      <w:bookmarkEnd w:id="24"/>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20"/>
        <w:jc w:val="left"/>
        <w:rPr>
          <w:rFonts w:hint="default" w:ascii="宋体" w:hAnsi="宋体" w:eastAsia="宋体" w:cs="宋体"/>
          <w:color w:val="auto"/>
          <w:kern w:val="2"/>
          <w:sz w:val="21"/>
          <w:szCs w:val="22"/>
          <w:highlight w:val="none"/>
          <w:lang w:val="en-US" w:eastAsia="zh-CN" w:bidi="ar-SA"/>
        </w:rPr>
      </w:pPr>
      <w:r>
        <w:rPr>
          <w:rFonts w:hint="default" w:ascii="宋体" w:hAnsi="宋体" w:eastAsia="宋体" w:cs="宋体"/>
          <w:color w:val="auto"/>
          <w:kern w:val="2"/>
          <w:sz w:val="21"/>
          <w:szCs w:val="22"/>
          <w:highlight w:val="none"/>
          <w:lang w:val="en-US" w:eastAsia="zh-CN" w:bidi="ar-SA"/>
        </w:rPr>
        <w:t>地址：</w:t>
      </w:r>
      <w:bookmarkStart w:id="25" w:name="PO_projectOfficeAddress"/>
      <w:r>
        <w:rPr>
          <w:rFonts w:hint="default" w:ascii="宋体" w:hAnsi="宋体" w:eastAsia="宋体" w:cs="宋体"/>
          <w:color w:val="auto"/>
          <w:kern w:val="2"/>
          <w:sz w:val="21"/>
          <w:szCs w:val="22"/>
          <w:highlight w:val="none"/>
          <w:lang w:val="en-US" w:eastAsia="zh-CN" w:bidi="ar-SA"/>
        </w:rPr>
        <w:t>湖南省株洲市天元区栗雨路新马工业园1299号</w:t>
      </w:r>
      <w:bookmarkEnd w:id="25"/>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20"/>
        <w:jc w:val="left"/>
        <w:rPr>
          <w:rFonts w:hint="default" w:ascii="宋体" w:hAnsi="宋体" w:eastAsia="宋体" w:cs="宋体"/>
          <w:color w:val="auto"/>
          <w:kern w:val="2"/>
          <w:sz w:val="21"/>
          <w:szCs w:val="22"/>
          <w:highlight w:val="none"/>
          <w:lang w:val="en-US" w:eastAsia="zh-CN" w:bidi="ar-SA"/>
        </w:rPr>
      </w:pPr>
      <w:r>
        <w:rPr>
          <w:rFonts w:hint="default" w:ascii="宋体" w:hAnsi="宋体" w:eastAsia="宋体" w:cs="宋体"/>
          <w:color w:val="auto"/>
          <w:kern w:val="2"/>
          <w:sz w:val="21"/>
          <w:szCs w:val="22"/>
          <w:highlight w:val="none"/>
          <w:lang w:val="en-US" w:eastAsia="zh-CN" w:bidi="ar-SA"/>
        </w:rPr>
        <w:t>联系人：</w:t>
      </w:r>
      <w:r>
        <w:rPr>
          <w:rFonts w:hint="eastAsia" w:cs="宋体"/>
          <w:color w:val="auto"/>
          <w:kern w:val="2"/>
          <w:sz w:val="21"/>
          <w:szCs w:val="22"/>
          <w:highlight w:val="none"/>
          <w:lang w:val="en-US" w:eastAsia="zh-CN" w:bidi="ar-SA"/>
        </w:rPr>
        <w:t>田丰粮</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20"/>
        <w:jc w:val="left"/>
        <w:rPr>
          <w:rFonts w:hint="default" w:ascii="宋体" w:hAnsi="宋体" w:eastAsia="宋体" w:cs="宋体"/>
          <w:color w:val="auto"/>
          <w:kern w:val="2"/>
          <w:sz w:val="21"/>
          <w:szCs w:val="22"/>
          <w:highlight w:val="none"/>
          <w:lang w:val="en-US" w:eastAsia="zh-CN" w:bidi="ar-SA"/>
        </w:rPr>
      </w:pPr>
      <w:r>
        <w:rPr>
          <w:rFonts w:hint="default" w:ascii="宋体" w:hAnsi="宋体" w:eastAsia="宋体" w:cs="宋体"/>
          <w:color w:val="auto"/>
          <w:kern w:val="2"/>
          <w:sz w:val="21"/>
          <w:szCs w:val="22"/>
          <w:highlight w:val="none"/>
          <w:lang w:val="en-US" w:eastAsia="zh-CN" w:bidi="ar-SA"/>
        </w:rPr>
        <w:t>电话：</w:t>
      </w:r>
      <w:bookmarkStart w:id="26" w:name="PO_projectOfficePhone_2"/>
      <w:r>
        <w:rPr>
          <w:rFonts w:hint="eastAsia" w:cs="宋体"/>
          <w:color w:val="auto"/>
          <w:kern w:val="2"/>
          <w:sz w:val="21"/>
          <w:szCs w:val="22"/>
          <w:highlight w:val="none"/>
          <w:lang w:val="en-US" w:eastAsia="zh-CN" w:bidi="ar-SA"/>
        </w:rPr>
        <w:t>13469036495</w:t>
      </w:r>
      <w:bookmarkEnd w:id="26"/>
    </w:p>
    <w:p>
      <w:pPr>
        <w:pStyle w:val="12"/>
        <w:rPr>
          <w:color w:val="auto"/>
        </w:rPr>
      </w:pPr>
    </w:p>
    <w:p>
      <w:pPr>
        <w:pStyle w:val="12"/>
        <w:ind w:left="0" w:leftChars="0" w:firstLine="0" w:firstLineChars="0"/>
        <w:rPr>
          <w:color w:val="auto"/>
        </w:rPr>
      </w:pPr>
    </w:p>
    <w:p>
      <w:pPr>
        <w:pStyle w:val="12"/>
        <w:rPr>
          <w:color w:val="auto"/>
        </w:rPr>
      </w:pPr>
    </w:p>
    <w:p>
      <w:pPr>
        <w:pStyle w:val="3"/>
        <w:spacing w:after="0"/>
        <w:ind w:left="1359" w:right="1561"/>
        <w:jc w:val="center"/>
        <w:rPr>
          <w:color w:val="auto"/>
        </w:rPr>
      </w:pPr>
      <w:bookmarkStart w:id="27" w:name="_Toc28419"/>
      <w:bookmarkStart w:id="28" w:name="_Toc5034"/>
      <w:r>
        <w:rPr>
          <w:rFonts w:ascii="华文中宋" w:hAnsi="华文中宋" w:eastAsia="华文中宋" w:cs="华文中宋"/>
          <w:color w:val="auto"/>
          <w:sz w:val="44"/>
        </w:rPr>
        <w:t>第二章投标人须知</w:t>
      </w:r>
      <w:bookmarkEnd w:id="27"/>
      <w:bookmarkEnd w:id="28"/>
    </w:p>
    <w:p>
      <w:pPr>
        <w:pStyle w:val="4"/>
        <w:spacing w:after="0"/>
        <w:ind w:left="1359" w:right="1561"/>
        <w:jc w:val="center"/>
        <w:rPr>
          <w:color w:val="auto"/>
        </w:rPr>
      </w:pPr>
      <w:bookmarkStart w:id="29" w:name="_Toc26846"/>
      <w:bookmarkStart w:id="30" w:name="_Toc746"/>
      <w:r>
        <w:rPr>
          <w:color w:val="auto"/>
        </w:rPr>
        <w:t>投标人须知前附表</w:t>
      </w:r>
      <w:bookmarkEnd w:id="29"/>
      <w:bookmarkEnd w:id="30"/>
    </w:p>
    <w:tbl>
      <w:tblPr>
        <w:tblStyle w:val="18"/>
        <w:tblW w:w="9237" w:type="dxa"/>
        <w:tblInd w:w="0" w:type="dxa"/>
        <w:tblLayout w:type="fixed"/>
        <w:tblCellMar>
          <w:top w:w="0" w:type="dxa"/>
          <w:left w:w="108" w:type="dxa"/>
          <w:bottom w:w="0" w:type="dxa"/>
          <w:right w:w="108" w:type="dxa"/>
        </w:tblCellMar>
      </w:tblPr>
      <w:tblGrid>
        <w:gridCol w:w="1165"/>
        <w:gridCol w:w="3678"/>
        <w:gridCol w:w="4394"/>
      </w:tblGrid>
      <w:tr>
        <w:tblPrEx>
          <w:tblCellMar>
            <w:top w:w="0" w:type="dxa"/>
            <w:left w:w="108" w:type="dxa"/>
            <w:bottom w:w="0" w:type="dxa"/>
            <w:right w:w="108" w:type="dxa"/>
          </w:tblCellMar>
        </w:tblPrEx>
        <w:trPr>
          <w:trHeight w:val="539" w:hRule="atLeast"/>
          <w:tblHeader/>
        </w:trPr>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
                <w:color w:val="auto"/>
                <w:szCs w:val="21"/>
              </w:rPr>
            </w:pPr>
            <w:r>
              <w:rPr>
                <w:rFonts w:hint="eastAsia"/>
                <w:b/>
                <w:color w:val="auto"/>
                <w:szCs w:val="21"/>
                <w:lang w:eastAsia="zh-CN"/>
              </w:rPr>
              <w:t>序</w:t>
            </w:r>
            <w:r>
              <w:rPr>
                <w:rFonts w:hint="eastAsia"/>
                <w:b/>
                <w:color w:val="auto"/>
                <w:szCs w:val="21"/>
              </w:rPr>
              <w:t>号</w:t>
            </w:r>
          </w:p>
        </w:tc>
        <w:tc>
          <w:tcPr>
            <w:tcW w:w="367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
                <w:color w:val="auto"/>
                <w:szCs w:val="21"/>
              </w:rPr>
            </w:pPr>
            <w:r>
              <w:rPr>
                <w:rFonts w:hint="eastAsia"/>
                <w:b/>
                <w:color w:val="auto"/>
                <w:szCs w:val="21"/>
              </w:rPr>
              <w:t>条款名称</w:t>
            </w:r>
          </w:p>
        </w:tc>
        <w:tc>
          <w:tcPr>
            <w:tcW w:w="43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
                <w:color w:val="auto"/>
                <w:szCs w:val="21"/>
              </w:rPr>
            </w:pPr>
            <w:r>
              <w:rPr>
                <w:rFonts w:hint="eastAsia"/>
                <w:b/>
                <w:color w:val="auto"/>
                <w:szCs w:val="21"/>
              </w:rPr>
              <w:t>编列内容</w:t>
            </w:r>
          </w:p>
        </w:tc>
      </w:tr>
      <w:tr>
        <w:tblPrEx>
          <w:tblCellMar>
            <w:top w:w="0" w:type="dxa"/>
            <w:left w:w="108" w:type="dxa"/>
            <w:bottom w:w="0" w:type="dxa"/>
            <w:right w:w="108" w:type="dxa"/>
          </w:tblCellMar>
        </w:tblPrEx>
        <w:trPr>
          <w:trHeight w:val="539"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color w:val="auto"/>
                <w:szCs w:val="21"/>
                <w:lang w:eastAsia="zh-CN"/>
              </w:rPr>
            </w:pPr>
            <w:r>
              <w:rPr>
                <w:rFonts w:hint="eastAsia"/>
                <w:color w:val="auto"/>
                <w:szCs w:val="21"/>
                <w:lang w:val="en-US" w:eastAsia="zh-CN"/>
              </w:rPr>
              <w:t>1</w:t>
            </w:r>
          </w:p>
        </w:tc>
        <w:tc>
          <w:tcPr>
            <w:tcW w:w="367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Cs w:val="21"/>
              </w:rPr>
            </w:pPr>
            <w:r>
              <w:rPr>
                <w:rFonts w:hint="eastAsia"/>
                <w:color w:val="auto"/>
                <w:szCs w:val="21"/>
              </w:rPr>
              <w:t>招（议）标人</w:t>
            </w:r>
          </w:p>
        </w:tc>
        <w:tc>
          <w:tcPr>
            <w:tcW w:w="4394" w:type="dxa"/>
            <w:tcBorders>
              <w:top w:val="single" w:color="auto" w:sz="4" w:space="0"/>
              <w:left w:val="single" w:color="auto" w:sz="4" w:space="0"/>
              <w:bottom w:val="single" w:color="auto" w:sz="4" w:space="0"/>
              <w:right w:val="single" w:color="auto" w:sz="4" w:space="0"/>
            </w:tcBorders>
            <w:vAlign w:val="center"/>
          </w:tcPr>
          <w:p>
            <w:pPr>
              <w:spacing w:line="360" w:lineRule="exact"/>
              <w:ind w:left="9" w:leftChars="0" w:hanging="9" w:firstLineChars="0"/>
              <w:rPr>
                <w:rFonts w:hint="eastAsia"/>
                <w:color w:val="auto"/>
                <w:szCs w:val="21"/>
                <w:lang w:val="en-US" w:eastAsia="zh-CN"/>
              </w:rPr>
            </w:pPr>
            <w:r>
              <w:rPr>
                <w:rFonts w:hint="eastAsia"/>
                <w:color w:val="auto"/>
                <w:szCs w:val="21"/>
                <w:lang w:val="en-US" w:eastAsia="zh-CN"/>
              </w:rPr>
              <w:t>招议标人名称：湘煤立达矿山装备股份有限公司</w:t>
            </w:r>
          </w:p>
          <w:p>
            <w:pPr>
              <w:spacing w:line="360" w:lineRule="exact"/>
              <w:ind w:left="9" w:leftChars="0" w:hanging="9" w:firstLineChars="0"/>
              <w:rPr>
                <w:rFonts w:hint="eastAsia"/>
                <w:color w:val="auto"/>
                <w:szCs w:val="21"/>
                <w:lang w:val="en-US" w:eastAsia="zh-CN"/>
              </w:rPr>
            </w:pPr>
            <w:r>
              <w:rPr>
                <w:rFonts w:hint="eastAsia"/>
                <w:color w:val="auto"/>
                <w:szCs w:val="21"/>
                <w:lang w:val="en-US" w:eastAsia="zh-CN"/>
              </w:rPr>
              <w:t>地址：湖南省株洲市天元区栗雨路新马工业园1299号</w:t>
            </w:r>
          </w:p>
          <w:p>
            <w:pPr>
              <w:spacing w:line="360" w:lineRule="exact"/>
              <w:ind w:left="9" w:leftChars="0" w:hanging="9" w:firstLineChars="0"/>
              <w:rPr>
                <w:rFonts w:hint="eastAsia"/>
                <w:color w:val="auto"/>
                <w:szCs w:val="21"/>
                <w:lang w:val="en-US" w:eastAsia="zh-CN"/>
              </w:rPr>
            </w:pPr>
            <w:r>
              <w:rPr>
                <w:rFonts w:hint="eastAsia"/>
                <w:color w:val="auto"/>
                <w:szCs w:val="21"/>
                <w:lang w:val="en-US" w:eastAsia="zh-CN"/>
              </w:rPr>
              <w:t>联系人：田丰粮</w:t>
            </w:r>
          </w:p>
          <w:p>
            <w:pPr>
              <w:spacing w:line="360" w:lineRule="exact"/>
              <w:ind w:left="9" w:leftChars="0" w:hanging="9" w:firstLineChars="0"/>
              <w:rPr>
                <w:color w:val="auto"/>
                <w:szCs w:val="21"/>
              </w:rPr>
            </w:pPr>
            <w:r>
              <w:rPr>
                <w:rFonts w:hint="eastAsia"/>
                <w:color w:val="auto"/>
                <w:szCs w:val="21"/>
                <w:lang w:val="en-US" w:eastAsia="zh-CN"/>
              </w:rPr>
              <w:t>电话：13469036495</w:t>
            </w:r>
            <w:r>
              <w:rPr>
                <w:rFonts w:hint="eastAsia"/>
                <w:color w:val="auto"/>
                <w:szCs w:val="21"/>
              </w:rPr>
              <w:t xml:space="preserve">       </w:t>
            </w:r>
          </w:p>
        </w:tc>
      </w:tr>
      <w:tr>
        <w:tblPrEx>
          <w:tblCellMar>
            <w:top w:w="0" w:type="dxa"/>
            <w:left w:w="108" w:type="dxa"/>
            <w:bottom w:w="0" w:type="dxa"/>
            <w:right w:w="108" w:type="dxa"/>
          </w:tblCellMar>
        </w:tblPrEx>
        <w:trPr>
          <w:trHeight w:val="539"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color w:val="auto"/>
                <w:szCs w:val="21"/>
                <w:lang w:eastAsia="zh-CN"/>
              </w:rPr>
            </w:pPr>
            <w:r>
              <w:rPr>
                <w:rFonts w:hint="eastAsia"/>
                <w:color w:val="auto"/>
                <w:szCs w:val="21"/>
                <w:lang w:val="en-US" w:eastAsia="zh-CN"/>
              </w:rPr>
              <w:t>2</w:t>
            </w:r>
          </w:p>
        </w:tc>
        <w:tc>
          <w:tcPr>
            <w:tcW w:w="367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Cs w:val="21"/>
              </w:rPr>
            </w:pPr>
            <w:r>
              <w:rPr>
                <w:rFonts w:hint="eastAsia"/>
                <w:color w:val="auto"/>
                <w:szCs w:val="21"/>
              </w:rPr>
              <w:t>招（议）标项目名称</w:t>
            </w:r>
          </w:p>
        </w:tc>
        <w:tc>
          <w:tcPr>
            <w:tcW w:w="439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eastAsia="宋体"/>
                <w:color w:val="auto"/>
                <w:szCs w:val="21"/>
                <w:lang w:eastAsia="zh-CN"/>
              </w:rPr>
            </w:pPr>
            <w:bookmarkStart w:id="31" w:name="PO_projectName_9"/>
            <w:r>
              <w:rPr>
                <w:rFonts w:hint="eastAsia"/>
                <w:color w:val="auto"/>
                <w:szCs w:val="21"/>
                <w:lang w:eastAsia="zh-CN"/>
              </w:rPr>
              <w:t>立达股份应收账款项目</w:t>
            </w:r>
            <w:bookmarkEnd w:id="31"/>
          </w:p>
        </w:tc>
      </w:tr>
      <w:tr>
        <w:tblPrEx>
          <w:tblCellMar>
            <w:top w:w="0" w:type="dxa"/>
            <w:left w:w="108" w:type="dxa"/>
            <w:bottom w:w="0" w:type="dxa"/>
            <w:right w:w="108" w:type="dxa"/>
          </w:tblCellMar>
        </w:tblPrEx>
        <w:trPr>
          <w:trHeight w:val="539"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color w:val="auto"/>
                <w:szCs w:val="21"/>
                <w:lang w:eastAsia="zh-CN"/>
              </w:rPr>
            </w:pPr>
            <w:r>
              <w:rPr>
                <w:rFonts w:hint="eastAsia"/>
                <w:color w:val="auto"/>
                <w:szCs w:val="21"/>
                <w:lang w:val="en-US" w:eastAsia="zh-CN"/>
              </w:rPr>
              <w:t>3</w:t>
            </w:r>
          </w:p>
        </w:tc>
        <w:tc>
          <w:tcPr>
            <w:tcW w:w="367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Cs w:val="21"/>
              </w:rPr>
            </w:pPr>
            <w:r>
              <w:rPr>
                <w:rFonts w:hint="eastAsia"/>
                <w:color w:val="auto"/>
                <w:szCs w:val="21"/>
              </w:rPr>
              <w:t>招（议）标范围</w:t>
            </w:r>
          </w:p>
        </w:tc>
        <w:tc>
          <w:tcPr>
            <w:tcW w:w="4394" w:type="dxa"/>
            <w:tcBorders>
              <w:top w:val="single" w:color="auto" w:sz="4" w:space="0"/>
              <w:left w:val="single" w:color="auto" w:sz="4" w:space="0"/>
              <w:bottom w:val="single" w:color="auto" w:sz="4" w:space="0"/>
              <w:right w:val="single" w:color="auto" w:sz="4" w:space="0"/>
            </w:tcBorders>
            <w:vAlign w:val="center"/>
          </w:tcPr>
          <w:p>
            <w:pPr>
              <w:rPr>
                <w:color w:val="auto"/>
                <w:szCs w:val="21"/>
              </w:rPr>
            </w:pPr>
            <w:r>
              <w:rPr>
                <w:rFonts w:hint="eastAsia"/>
                <w:lang w:val="en-US" w:eastAsia="zh-CN"/>
              </w:rPr>
              <w:t>本次招议标范围涉及应收账款共120笔，金额共计12845788.85元</w:t>
            </w:r>
          </w:p>
        </w:tc>
      </w:tr>
      <w:tr>
        <w:tblPrEx>
          <w:tblCellMar>
            <w:top w:w="0" w:type="dxa"/>
            <w:left w:w="108" w:type="dxa"/>
            <w:bottom w:w="0" w:type="dxa"/>
            <w:right w:w="108" w:type="dxa"/>
          </w:tblCellMar>
        </w:tblPrEx>
        <w:trPr>
          <w:trHeight w:val="539"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color w:val="auto"/>
                <w:szCs w:val="21"/>
                <w:lang w:eastAsia="zh-CN"/>
              </w:rPr>
            </w:pPr>
            <w:r>
              <w:rPr>
                <w:rFonts w:hint="eastAsia"/>
                <w:color w:val="auto"/>
                <w:szCs w:val="21"/>
                <w:lang w:val="en-US" w:eastAsia="zh-CN"/>
              </w:rPr>
              <w:t>4</w:t>
            </w:r>
          </w:p>
        </w:tc>
        <w:tc>
          <w:tcPr>
            <w:tcW w:w="367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Cs w:val="21"/>
                <w:highlight w:val="none"/>
              </w:rPr>
            </w:pPr>
            <w:r>
              <w:rPr>
                <w:rFonts w:hint="eastAsia"/>
                <w:color w:val="auto"/>
                <w:szCs w:val="21"/>
                <w:highlight w:val="none"/>
              </w:rPr>
              <w:t>投标人资质条件、能力和信誉</w:t>
            </w:r>
          </w:p>
          <w:p>
            <w:pPr>
              <w:spacing w:line="360" w:lineRule="exact"/>
              <w:jc w:val="center"/>
              <w:rPr>
                <w:color w:val="auto"/>
                <w:szCs w:val="21"/>
                <w:highlight w:val="none"/>
              </w:rPr>
            </w:pPr>
          </w:p>
        </w:tc>
        <w:tc>
          <w:tcPr>
            <w:tcW w:w="4394"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both"/>
              <w:rPr>
                <w:rFonts w:hint="eastAsia"/>
                <w:color w:val="auto"/>
                <w:szCs w:val="21"/>
                <w:highlight w:val="none"/>
                <w:lang w:val="en-US" w:eastAsia="zh-CN"/>
              </w:rPr>
            </w:pPr>
            <w:r>
              <w:rPr>
                <w:rFonts w:hint="eastAsia"/>
                <w:color w:val="auto"/>
                <w:szCs w:val="21"/>
                <w:highlight w:val="none"/>
                <w:lang w:val="en-US" w:eastAsia="zh-CN"/>
              </w:rPr>
              <w:t>（1）投标人必须是依照《中华人民共和国律师法》成立的律师事务所，且经过司法机关登记。从事本项目的具体人员必须是依法取得执业证书的律师。</w:t>
            </w:r>
          </w:p>
          <w:p>
            <w:pPr>
              <w:widowControl w:val="0"/>
              <w:spacing w:line="360" w:lineRule="exact"/>
              <w:jc w:val="both"/>
              <w:rPr>
                <w:rFonts w:hint="eastAsia"/>
                <w:color w:val="auto"/>
                <w:szCs w:val="21"/>
                <w:highlight w:val="none"/>
                <w:lang w:val="en-US" w:eastAsia="zh-CN"/>
              </w:rPr>
            </w:pPr>
            <w:r>
              <w:rPr>
                <w:rFonts w:hint="eastAsia"/>
                <w:color w:val="auto"/>
                <w:szCs w:val="21"/>
                <w:highlight w:val="none"/>
                <w:lang w:val="en-US" w:eastAsia="zh-CN"/>
              </w:rPr>
              <w:t>（2）投标人应具备从事应收账款催收的经验。</w:t>
            </w:r>
          </w:p>
          <w:p>
            <w:pPr>
              <w:widowControl w:val="0"/>
              <w:spacing w:line="360" w:lineRule="exact"/>
              <w:jc w:val="both"/>
              <w:rPr>
                <w:rFonts w:hint="eastAsia"/>
                <w:color w:val="auto"/>
                <w:szCs w:val="21"/>
                <w:highlight w:val="none"/>
                <w:lang w:val="en-US" w:eastAsia="zh-CN"/>
              </w:rPr>
            </w:pPr>
            <w:r>
              <w:rPr>
                <w:rFonts w:hint="eastAsia"/>
                <w:color w:val="auto"/>
                <w:szCs w:val="21"/>
                <w:highlight w:val="none"/>
                <w:lang w:val="en-US" w:eastAsia="zh-CN"/>
              </w:rPr>
              <w:t>（3）投标人应当诚实守信，无不良诚信记录。</w:t>
            </w:r>
          </w:p>
          <w:p>
            <w:pPr>
              <w:widowControl w:val="0"/>
              <w:spacing w:line="360" w:lineRule="exact"/>
              <w:jc w:val="both"/>
              <w:rPr>
                <w:rFonts w:hint="eastAsia"/>
                <w:color w:val="auto"/>
                <w:szCs w:val="21"/>
                <w:highlight w:val="none"/>
                <w:lang w:val="en-US" w:eastAsia="zh-CN"/>
              </w:rPr>
            </w:pPr>
            <w:r>
              <w:rPr>
                <w:rFonts w:hint="eastAsia"/>
                <w:color w:val="auto"/>
                <w:szCs w:val="21"/>
                <w:highlight w:val="none"/>
                <w:lang w:val="en-US" w:eastAsia="zh-CN"/>
              </w:rPr>
              <w:t xml:space="preserve">（4）遵守国家法律法规，具有良好的信誉和商业道德。 </w:t>
            </w:r>
          </w:p>
          <w:p>
            <w:pPr>
              <w:widowControl w:val="0"/>
              <w:spacing w:line="360" w:lineRule="exact"/>
              <w:jc w:val="both"/>
              <w:rPr>
                <w:color w:val="auto"/>
                <w:szCs w:val="21"/>
                <w:highlight w:val="none"/>
              </w:rPr>
            </w:pPr>
            <w:r>
              <w:rPr>
                <w:rFonts w:hint="eastAsia"/>
                <w:color w:val="auto"/>
                <w:szCs w:val="21"/>
                <w:highlight w:val="none"/>
                <w:lang w:val="en-US" w:eastAsia="zh-CN"/>
              </w:rPr>
              <w:t>（5）法律法规规定的其他条件。</w:t>
            </w:r>
            <w:r>
              <w:rPr>
                <w:color w:val="auto"/>
                <w:szCs w:val="21"/>
                <w:highlight w:val="none"/>
              </w:rPr>
              <w:t xml:space="preserve"> </w:t>
            </w:r>
          </w:p>
          <w:p>
            <w:pPr>
              <w:spacing w:line="360" w:lineRule="exact"/>
              <w:rPr>
                <w:color w:val="auto"/>
                <w:szCs w:val="21"/>
                <w:highlight w:val="none"/>
              </w:rPr>
            </w:pPr>
          </w:p>
        </w:tc>
      </w:tr>
      <w:tr>
        <w:tblPrEx>
          <w:tblCellMar>
            <w:top w:w="0" w:type="dxa"/>
            <w:left w:w="108" w:type="dxa"/>
            <w:bottom w:w="0" w:type="dxa"/>
            <w:right w:w="108" w:type="dxa"/>
          </w:tblCellMar>
        </w:tblPrEx>
        <w:trPr>
          <w:trHeight w:val="539"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color w:val="auto"/>
                <w:szCs w:val="21"/>
                <w:lang w:eastAsia="zh-CN"/>
              </w:rPr>
            </w:pPr>
            <w:r>
              <w:rPr>
                <w:rFonts w:hint="eastAsia"/>
                <w:color w:val="auto"/>
                <w:szCs w:val="21"/>
                <w:lang w:val="en-US" w:eastAsia="zh-CN"/>
              </w:rPr>
              <w:t>5</w:t>
            </w:r>
          </w:p>
        </w:tc>
        <w:tc>
          <w:tcPr>
            <w:tcW w:w="367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Cs w:val="21"/>
              </w:rPr>
            </w:pPr>
            <w:r>
              <w:rPr>
                <w:rFonts w:hint="eastAsia"/>
                <w:color w:val="auto"/>
                <w:szCs w:val="21"/>
              </w:rPr>
              <w:t>是否接受联合体投标</w:t>
            </w:r>
          </w:p>
        </w:tc>
        <w:tc>
          <w:tcPr>
            <w:tcW w:w="4394" w:type="dxa"/>
            <w:tcBorders>
              <w:top w:val="single" w:color="auto" w:sz="4" w:space="0"/>
              <w:left w:val="single" w:color="auto" w:sz="4" w:space="0"/>
              <w:bottom w:val="single" w:color="auto" w:sz="4" w:space="0"/>
              <w:right w:val="single" w:color="auto" w:sz="4" w:space="0"/>
            </w:tcBorders>
            <w:vAlign w:val="center"/>
          </w:tcPr>
          <w:p>
            <w:pPr>
              <w:topLinePunct/>
              <w:spacing w:line="360" w:lineRule="exact"/>
              <w:rPr>
                <w:color w:val="auto"/>
                <w:szCs w:val="21"/>
              </w:rPr>
            </w:pPr>
            <w:r>
              <w:rPr>
                <w:rFonts w:hint="eastAsia"/>
                <w:color w:val="auto"/>
                <w:szCs w:val="21"/>
                <w:lang w:eastAsia="zh-CN"/>
              </w:rPr>
              <w:t>□</w:t>
            </w:r>
            <w:r>
              <w:rPr>
                <w:rFonts w:hint="eastAsia"/>
                <w:color w:val="auto"/>
                <w:szCs w:val="21"/>
              </w:rPr>
              <w:t>不接受</w:t>
            </w:r>
          </w:p>
          <w:p>
            <w:pPr>
              <w:spacing w:line="360" w:lineRule="exact"/>
              <w:rPr>
                <w:color w:val="auto"/>
                <w:szCs w:val="21"/>
              </w:rPr>
            </w:pPr>
            <w:r>
              <w:rPr>
                <w:rFonts w:hint="eastAsia"/>
                <w:color w:val="auto"/>
                <w:szCs w:val="21"/>
                <w:lang w:eastAsia="zh-CN"/>
              </w:rPr>
              <w:t>☑</w:t>
            </w:r>
            <w:r>
              <w:rPr>
                <w:rFonts w:hint="eastAsia"/>
                <w:color w:val="auto"/>
                <w:szCs w:val="21"/>
              </w:rPr>
              <w:t>接受</w:t>
            </w:r>
          </w:p>
        </w:tc>
      </w:tr>
      <w:tr>
        <w:tblPrEx>
          <w:tblCellMar>
            <w:top w:w="0" w:type="dxa"/>
            <w:left w:w="108" w:type="dxa"/>
            <w:bottom w:w="0" w:type="dxa"/>
            <w:right w:w="108" w:type="dxa"/>
          </w:tblCellMar>
        </w:tblPrEx>
        <w:trPr>
          <w:trHeight w:val="539"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color w:val="auto"/>
                <w:szCs w:val="21"/>
                <w:lang w:eastAsia="zh-CN"/>
              </w:rPr>
            </w:pPr>
            <w:r>
              <w:rPr>
                <w:rFonts w:hint="eastAsia"/>
                <w:color w:val="auto"/>
                <w:szCs w:val="21"/>
                <w:lang w:val="en-US" w:eastAsia="zh-CN"/>
              </w:rPr>
              <w:t>6</w:t>
            </w:r>
          </w:p>
        </w:tc>
        <w:tc>
          <w:tcPr>
            <w:tcW w:w="367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Cs w:val="21"/>
              </w:rPr>
            </w:pPr>
            <w:r>
              <w:rPr>
                <w:rFonts w:hint="eastAsia"/>
                <w:color w:val="auto"/>
                <w:szCs w:val="21"/>
              </w:rPr>
              <w:t>投标人不得存在的其他情形</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val="0"/>
              <w:topLinePunct/>
              <w:spacing w:line="360" w:lineRule="exact"/>
              <w:jc w:val="both"/>
              <w:rPr>
                <w:color w:val="auto"/>
                <w:szCs w:val="21"/>
                <w:highlight w:val="green"/>
              </w:rPr>
            </w:pPr>
            <w:r>
              <w:rPr>
                <w:rFonts w:hint="eastAsia"/>
                <w:color w:val="auto"/>
                <w:szCs w:val="21"/>
                <w:highlight w:val="white"/>
              </w:rPr>
              <w:t>（1）与招（议）标人存在利害关系可能影响招（议）标公正性的</w:t>
            </w:r>
            <w:r>
              <w:rPr>
                <w:rFonts w:hint="eastAsia"/>
                <w:color w:val="auto"/>
                <w:szCs w:val="21"/>
                <w:highlight w:val="white"/>
                <w:lang w:eastAsia="zh-CN"/>
              </w:rPr>
              <w:t>律师事务所及</w:t>
            </w:r>
            <w:r>
              <w:rPr>
                <w:rFonts w:hint="eastAsia"/>
                <w:color w:val="auto"/>
                <w:szCs w:val="21"/>
                <w:highlight w:val="white"/>
              </w:rPr>
              <w:t>个人，不得参加本项目投标；</w:t>
            </w:r>
          </w:p>
          <w:p>
            <w:pPr>
              <w:topLinePunct/>
              <w:spacing w:line="360" w:lineRule="exact"/>
              <w:rPr>
                <w:color w:val="auto"/>
                <w:szCs w:val="21"/>
              </w:rPr>
            </w:pPr>
            <w:r>
              <w:rPr>
                <w:rFonts w:hint="eastAsia"/>
                <w:color w:val="auto"/>
                <w:szCs w:val="21"/>
                <w:highlight w:val="white"/>
              </w:rPr>
              <w:t>（2）单位负责人为同一人或存在控股、管理关系的不同单位，不得参加</w:t>
            </w:r>
            <w:r>
              <w:rPr>
                <w:rFonts w:hint="eastAsia"/>
                <w:color w:val="auto"/>
                <w:szCs w:val="21"/>
                <w:highlight w:val="white"/>
                <w:lang w:eastAsia="zh-CN"/>
              </w:rPr>
              <w:t>本次</w:t>
            </w:r>
            <w:r>
              <w:rPr>
                <w:rFonts w:hint="eastAsia"/>
                <w:color w:val="auto"/>
                <w:szCs w:val="21"/>
                <w:highlight w:val="white"/>
              </w:rPr>
              <w:t>投标。</w:t>
            </w:r>
          </w:p>
        </w:tc>
      </w:tr>
      <w:tr>
        <w:tblPrEx>
          <w:tblCellMar>
            <w:top w:w="0" w:type="dxa"/>
            <w:left w:w="108" w:type="dxa"/>
            <w:bottom w:w="0" w:type="dxa"/>
            <w:right w:w="108" w:type="dxa"/>
          </w:tblCellMar>
        </w:tblPrEx>
        <w:trPr>
          <w:trHeight w:val="539" w:hRule="atLeast"/>
        </w:trPr>
        <w:tc>
          <w:tcPr>
            <w:tcW w:w="1165" w:type="dxa"/>
            <w:tcBorders>
              <w:left w:val="single" w:color="auto" w:sz="4" w:space="0"/>
              <w:bottom w:val="single" w:color="auto" w:sz="4" w:space="0"/>
              <w:right w:val="single" w:color="auto" w:sz="4" w:space="0"/>
            </w:tcBorders>
            <w:vAlign w:val="center"/>
          </w:tcPr>
          <w:p>
            <w:pPr>
              <w:spacing w:line="360" w:lineRule="exact"/>
              <w:jc w:val="center"/>
              <w:rPr>
                <w:rFonts w:hint="eastAsia" w:eastAsia="宋体"/>
                <w:color w:val="auto"/>
                <w:szCs w:val="21"/>
                <w:lang w:eastAsia="zh-CN"/>
              </w:rPr>
            </w:pPr>
            <w:r>
              <w:rPr>
                <w:rFonts w:hint="eastAsia"/>
                <w:color w:val="auto"/>
                <w:szCs w:val="21"/>
                <w:lang w:val="en-US" w:eastAsia="zh-CN"/>
              </w:rPr>
              <w:t>7</w:t>
            </w:r>
          </w:p>
        </w:tc>
        <w:tc>
          <w:tcPr>
            <w:tcW w:w="8072" w:type="dxa"/>
            <w:gridSpan w:val="2"/>
            <w:tcBorders>
              <w:left w:val="single" w:color="auto" w:sz="4" w:space="0"/>
              <w:bottom w:val="single" w:color="auto" w:sz="4" w:space="0"/>
              <w:right w:val="single" w:color="auto" w:sz="4" w:space="0"/>
            </w:tcBorders>
            <w:vAlign w:val="center"/>
          </w:tcPr>
          <w:p>
            <w:pPr>
              <w:spacing w:line="360" w:lineRule="exact"/>
              <w:ind w:firstLine="525" w:firstLineChars="250"/>
              <w:rPr>
                <w:color w:val="auto"/>
                <w:szCs w:val="21"/>
              </w:rPr>
            </w:pPr>
            <w:r>
              <w:rPr>
                <w:rFonts w:hint="eastAsia"/>
                <w:color w:val="auto"/>
                <w:szCs w:val="21"/>
              </w:rPr>
              <w:t>本次招（议）标不举行投标预备会·</w:t>
            </w:r>
          </w:p>
        </w:tc>
      </w:tr>
      <w:tr>
        <w:tblPrEx>
          <w:tblCellMar>
            <w:top w:w="0" w:type="dxa"/>
            <w:left w:w="108" w:type="dxa"/>
            <w:bottom w:w="0" w:type="dxa"/>
            <w:right w:w="108" w:type="dxa"/>
          </w:tblCellMar>
        </w:tblPrEx>
        <w:trPr>
          <w:trHeight w:val="539"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color w:val="auto"/>
                <w:szCs w:val="21"/>
                <w:lang w:eastAsia="zh-CN"/>
              </w:rPr>
            </w:pPr>
            <w:r>
              <w:rPr>
                <w:rFonts w:hint="eastAsia"/>
                <w:color w:val="auto"/>
                <w:szCs w:val="21"/>
                <w:lang w:val="en-US" w:eastAsia="zh-CN"/>
              </w:rPr>
              <w:t>8</w:t>
            </w:r>
          </w:p>
        </w:tc>
        <w:tc>
          <w:tcPr>
            <w:tcW w:w="367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Cs w:val="21"/>
              </w:rPr>
            </w:pPr>
            <w:r>
              <w:rPr>
                <w:rFonts w:hint="eastAsia"/>
                <w:color w:val="auto"/>
                <w:szCs w:val="21"/>
              </w:rPr>
              <w:t>分包</w:t>
            </w:r>
          </w:p>
        </w:tc>
        <w:tc>
          <w:tcPr>
            <w:tcW w:w="4394" w:type="dxa"/>
            <w:tcBorders>
              <w:top w:val="single" w:color="auto" w:sz="4" w:space="0"/>
              <w:left w:val="single" w:color="auto" w:sz="4" w:space="0"/>
              <w:bottom w:val="single" w:color="auto" w:sz="4" w:space="0"/>
              <w:right w:val="single" w:color="auto" w:sz="4" w:space="0"/>
            </w:tcBorders>
            <w:vAlign w:val="center"/>
          </w:tcPr>
          <w:p>
            <w:pPr>
              <w:spacing w:line="360" w:lineRule="exact"/>
              <w:rPr>
                <w:color w:val="auto"/>
                <w:szCs w:val="21"/>
              </w:rPr>
            </w:pPr>
            <w:r>
              <w:rPr>
                <w:rFonts w:hint="eastAsia"/>
                <w:color w:val="auto"/>
                <w:szCs w:val="21"/>
              </w:rPr>
              <w:t>不允许</w:t>
            </w:r>
          </w:p>
        </w:tc>
      </w:tr>
      <w:tr>
        <w:tblPrEx>
          <w:tblCellMar>
            <w:top w:w="0" w:type="dxa"/>
            <w:left w:w="108" w:type="dxa"/>
            <w:bottom w:w="0" w:type="dxa"/>
            <w:right w:w="108" w:type="dxa"/>
          </w:tblCellMar>
        </w:tblPrEx>
        <w:trPr>
          <w:trHeight w:val="539"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color w:val="auto"/>
                <w:szCs w:val="21"/>
                <w:lang w:eastAsia="zh-CN"/>
              </w:rPr>
            </w:pPr>
            <w:r>
              <w:rPr>
                <w:rFonts w:hint="eastAsia"/>
                <w:color w:val="auto"/>
                <w:szCs w:val="21"/>
                <w:lang w:val="en-US" w:eastAsia="zh-CN"/>
              </w:rPr>
              <w:t>9</w:t>
            </w:r>
          </w:p>
        </w:tc>
        <w:tc>
          <w:tcPr>
            <w:tcW w:w="367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Cs w:val="21"/>
              </w:rPr>
            </w:pPr>
            <w:r>
              <w:rPr>
                <w:rFonts w:hint="eastAsia"/>
                <w:color w:val="auto"/>
                <w:szCs w:val="21"/>
              </w:rPr>
              <w:t>偏差</w:t>
            </w:r>
          </w:p>
        </w:tc>
        <w:tc>
          <w:tcPr>
            <w:tcW w:w="4394" w:type="dxa"/>
            <w:tcBorders>
              <w:top w:val="single" w:color="auto" w:sz="4" w:space="0"/>
              <w:left w:val="single" w:color="auto" w:sz="4" w:space="0"/>
              <w:bottom w:val="single" w:color="auto" w:sz="4" w:space="0"/>
              <w:right w:val="single" w:color="auto" w:sz="4" w:space="0"/>
            </w:tcBorders>
          </w:tcPr>
          <w:p>
            <w:pPr>
              <w:spacing w:line="360" w:lineRule="exact"/>
              <w:rPr>
                <w:color w:val="auto"/>
                <w:sz w:val="21"/>
                <w:szCs w:val="21"/>
              </w:rPr>
            </w:pPr>
            <w:r>
              <w:rPr>
                <w:rFonts w:hint="eastAsia"/>
                <w:color w:val="auto"/>
                <w:szCs w:val="21"/>
              </w:rPr>
              <w:t>不允许</w:t>
            </w:r>
          </w:p>
        </w:tc>
      </w:tr>
      <w:tr>
        <w:tblPrEx>
          <w:tblCellMar>
            <w:top w:w="0" w:type="dxa"/>
            <w:left w:w="108" w:type="dxa"/>
            <w:bottom w:w="0" w:type="dxa"/>
            <w:right w:w="108" w:type="dxa"/>
          </w:tblCellMar>
        </w:tblPrEx>
        <w:trPr>
          <w:trHeight w:val="539"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eastAsia="宋体"/>
                <w:color w:val="auto"/>
                <w:szCs w:val="21"/>
                <w:lang w:val="en-US" w:eastAsia="zh-CN"/>
              </w:rPr>
            </w:pPr>
            <w:r>
              <w:rPr>
                <w:rFonts w:hint="eastAsia"/>
                <w:color w:val="auto"/>
                <w:szCs w:val="21"/>
                <w:lang w:val="en-US" w:eastAsia="zh-CN"/>
              </w:rPr>
              <w:t>10</w:t>
            </w:r>
          </w:p>
        </w:tc>
        <w:tc>
          <w:tcPr>
            <w:tcW w:w="367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Cs w:val="21"/>
              </w:rPr>
            </w:pPr>
            <w:r>
              <w:rPr>
                <w:rFonts w:hint="eastAsia"/>
                <w:color w:val="auto"/>
                <w:szCs w:val="21"/>
              </w:rPr>
              <w:t>构成招（议）标文件的其他资料</w:t>
            </w:r>
          </w:p>
        </w:tc>
        <w:tc>
          <w:tcPr>
            <w:tcW w:w="4394" w:type="dxa"/>
            <w:tcBorders>
              <w:top w:val="single" w:color="auto" w:sz="4" w:space="0"/>
              <w:left w:val="single" w:color="auto" w:sz="4" w:space="0"/>
              <w:bottom w:val="single" w:color="auto" w:sz="4" w:space="0"/>
              <w:right w:val="single" w:color="auto" w:sz="4" w:space="0"/>
            </w:tcBorders>
            <w:vAlign w:val="center"/>
          </w:tcPr>
          <w:p>
            <w:pPr>
              <w:spacing w:line="360" w:lineRule="exact"/>
              <w:rPr>
                <w:color w:val="auto"/>
                <w:szCs w:val="21"/>
              </w:rPr>
            </w:pPr>
            <w:r>
              <w:rPr>
                <w:rFonts w:hint="eastAsia"/>
                <w:color w:val="auto"/>
                <w:szCs w:val="21"/>
              </w:rPr>
              <w:t>无</w:t>
            </w:r>
          </w:p>
        </w:tc>
      </w:tr>
      <w:tr>
        <w:tblPrEx>
          <w:tblCellMar>
            <w:top w:w="0" w:type="dxa"/>
            <w:left w:w="108" w:type="dxa"/>
            <w:bottom w:w="0" w:type="dxa"/>
            <w:right w:w="108" w:type="dxa"/>
          </w:tblCellMar>
        </w:tblPrEx>
        <w:trPr>
          <w:trHeight w:val="539" w:hRule="atLeast"/>
        </w:trPr>
        <w:tc>
          <w:tcPr>
            <w:tcW w:w="1165" w:type="dxa"/>
            <w:vMerge w:val="restart"/>
            <w:tcBorders>
              <w:top w:val="single" w:color="auto" w:sz="4" w:space="0"/>
              <w:left w:val="single" w:color="auto" w:sz="4" w:space="0"/>
              <w:right w:val="single" w:color="auto" w:sz="4" w:space="0"/>
            </w:tcBorders>
            <w:vAlign w:val="center"/>
          </w:tcPr>
          <w:p>
            <w:pPr>
              <w:spacing w:line="360" w:lineRule="exact"/>
              <w:jc w:val="center"/>
              <w:rPr>
                <w:rFonts w:hint="default" w:eastAsia="宋体"/>
                <w:color w:val="auto"/>
                <w:szCs w:val="21"/>
                <w:lang w:val="en-US" w:eastAsia="zh-CN"/>
              </w:rPr>
            </w:pPr>
            <w:r>
              <w:rPr>
                <w:rFonts w:hint="eastAsia"/>
                <w:color w:val="auto"/>
                <w:szCs w:val="21"/>
                <w:lang w:val="en-US" w:eastAsia="zh-CN"/>
              </w:rPr>
              <w:t>11</w:t>
            </w:r>
          </w:p>
        </w:tc>
        <w:tc>
          <w:tcPr>
            <w:tcW w:w="3678" w:type="dxa"/>
            <w:vMerge w:val="restart"/>
            <w:tcBorders>
              <w:top w:val="single" w:color="auto" w:sz="4" w:space="0"/>
              <w:left w:val="single" w:color="auto" w:sz="4" w:space="0"/>
              <w:right w:val="single" w:color="auto" w:sz="4" w:space="0"/>
            </w:tcBorders>
            <w:vAlign w:val="center"/>
          </w:tcPr>
          <w:p>
            <w:pPr>
              <w:spacing w:line="360" w:lineRule="exact"/>
              <w:jc w:val="center"/>
              <w:rPr>
                <w:color w:val="auto"/>
                <w:szCs w:val="21"/>
              </w:rPr>
            </w:pPr>
            <w:r>
              <w:rPr>
                <w:rFonts w:hint="eastAsia"/>
                <w:color w:val="auto"/>
                <w:szCs w:val="21"/>
              </w:rPr>
              <w:t>投标人要求澄清招（议）标文件</w:t>
            </w:r>
          </w:p>
        </w:tc>
        <w:tc>
          <w:tcPr>
            <w:tcW w:w="4394" w:type="dxa"/>
            <w:tcBorders>
              <w:top w:val="single" w:color="auto" w:sz="4" w:space="0"/>
              <w:left w:val="single" w:color="auto" w:sz="4" w:space="0"/>
              <w:bottom w:val="single" w:color="auto" w:sz="4" w:space="0"/>
              <w:right w:val="single" w:color="auto" w:sz="4" w:space="0"/>
            </w:tcBorders>
            <w:vAlign w:val="center"/>
          </w:tcPr>
          <w:p>
            <w:pPr>
              <w:spacing w:line="360" w:lineRule="exact"/>
              <w:rPr>
                <w:color w:val="auto"/>
                <w:szCs w:val="21"/>
              </w:rPr>
            </w:pPr>
            <w:r>
              <w:rPr>
                <w:rFonts w:hint="eastAsia"/>
                <w:color w:val="auto"/>
                <w:szCs w:val="21"/>
              </w:rPr>
              <w:t>时间：</w:t>
            </w:r>
            <w:r>
              <w:rPr>
                <w:rFonts w:hint="eastAsia"/>
                <w:color w:val="auto"/>
                <w:szCs w:val="21"/>
                <w:highlight w:val="white"/>
              </w:rPr>
              <w:t>投标截止时间前3天。</w:t>
            </w:r>
          </w:p>
        </w:tc>
      </w:tr>
      <w:tr>
        <w:tblPrEx>
          <w:tblCellMar>
            <w:top w:w="0" w:type="dxa"/>
            <w:left w:w="108" w:type="dxa"/>
            <w:bottom w:w="0" w:type="dxa"/>
            <w:right w:w="108" w:type="dxa"/>
          </w:tblCellMar>
        </w:tblPrEx>
        <w:trPr>
          <w:trHeight w:val="539" w:hRule="atLeast"/>
        </w:trPr>
        <w:tc>
          <w:tcPr>
            <w:tcW w:w="1165" w:type="dxa"/>
            <w:vMerge w:val="continue"/>
            <w:tcBorders>
              <w:left w:val="single" w:color="auto" w:sz="4" w:space="0"/>
              <w:bottom w:val="single" w:color="auto" w:sz="4" w:space="0"/>
              <w:right w:val="single" w:color="auto" w:sz="4" w:space="0"/>
            </w:tcBorders>
            <w:vAlign w:val="center"/>
          </w:tcPr>
          <w:p>
            <w:pPr>
              <w:spacing w:line="360" w:lineRule="exact"/>
              <w:jc w:val="center"/>
              <w:rPr>
                <w:color w:val="auto"/>
                <w:szCs w:val="21"/>
              </w:rPr>
            </w:pPr>
          </w:p>
        </w:tc>
        <w:tc>
          <w:tcPr>
            <w:tcW w:w="3678" w:type="dxa"/>
            <w:vMerge w:val="continue"/>
            <w:tcBorders>
              <w:left w:val="single" w:color="auto" w:sz="4" w:space="0"/>
              <w:bottom w:val="single" w:color="auto" w:sz="4" w:space="0"/>
              <w:right w:val="single" w:color="auto" w:sz="4" w:space="0"/>
            </w:tcBorders>
            <w:vAlign w:val="center"/>
          </w:tcPr>
          <w:p>
            <w:pPr>
              <w:spacing w:line="360" w:lineRule="exact"/>
              <w:jc w:val="center"/>
              <w:rPr>
                <w:color w:val="auto"/>
                <w:szCs w:val="21"/>
              </w:rPr>
            </w:pPr>
          </w:p>
        </w:tc>
        <w:tc>
          <w:tcPr>
            <w:tcW w:w="4394" w:type="dxa"/>
            <w:tcBorders>
              <w:top w:val="single" w:color="auto" w:sz="4" w:space="0"/>
              <w:left w:val="single" w:color="auto" w:sz="4" w:space="0"/>
              <w:bottom w:val="single" w:color="auto" w:sz="4" w:space="0"/>
              <w:right w:val="single" w:color="auto" w:sz="4" w:space="0"/>
            </w:tcBorders>
            <w:vAlign w:val="center"/>
          </w:tcPr>
          <w:p>
            <w:pPr>
              <w:spacing w:line="360" w:lineRule="exact"/>
              <w:rPr>
                <w:color w:val="auto"/>
                <w:szCs w:val="21"/>
              </w:rPr>
            </w:pPr>
            <w:r>
              <w:rPr>
                <w:rFonts w:hint="eastAsia"/>
                <w:color w:val="auto"/>
                <w:szCs w:val="21"/>
              </w:rPr>
              <w:t>形式：书面形式</w:t>
            </w:r>
          </w:p>
        </w:tc>
      </w:tr>
      <w:tr>
        <w:tblPrEx>
          <w:tblCellMar>
            <w:top w:w="0" w:type="dxa"/>
            <w:left w:w="108" w:type="dxa"/>
            <w:bottom w:w="0" w:type="dxa"/>
            <w:right w:w="108" w:type="dxa"/>
          </w:tblCellMar>
        </w:tblPrEx>
        <w:trPr>
          <w:trHeight w:val="539" w:hRule="atLeast"/>
        </w:trPr>
        <w:tc>
          <w:tcPr>
            <w:tcW w:w="1165" w:type="dxa"/>
            <w:tcBorders>
              <w:left w:val="single" w:color="auto" w:sz="4" w:space="0"/>
              <w:bottom w:val="single" w:color="auto" w:sz="4" w:space="0"/>
              <w:right w:val="single" w:color="auto" w:sz="4" w:space="0"/>
            </w:tcBorders>
            <w:vAlign w:val="center"/>
          </w:tcPr>
          <w:p>
            <w:pPr>
              <w:spacing w:line="360" w:lineRule="exact"/>
              <w:jc w:val="center"/>
              <w:rPr>
                <w:rFonts w:hint="default" w:eastAsia="宋体"/>
                <w:color w:val="auto"/>
                <w:szCs w:val="21"/>
                <w:lang w:val="en-US" w:eastAsia="zh-CN"/>
              </w:rPr>
            </w:pPr>
            <w:r>
              <w:rPr>
                <w:rFonts w:hint="eastAsia"/>
                <w:color w:val="auto"/>
                <w:szCs w:val="21"/>
                <w:lang w:val="en-US" w:eastAsia="zh-CN"/>
              </w:rPr>
              <w:t>12</w:t>
            </w:r>
          </w:p>
        </w:tc>
        <w:tc>
          <w:tcPr>
            <w:tcW w:w="3678" w:type="dxa"/>
            <w:tcBorders>
              <w:left w:val="single" w:color="auto" w:sz="4" w:space="0"/>
              <w:bottom w:val="single" w:color="auto" w:sz="4" w:space="0"/>
              <w:right w:val="single" w:color="auto" w:sz="4" w:space="0"/>
            </w:tcBorders>
            <w:vAlign w:val="center"/>
          </w:tcPr>
          <w:p>
            <w:pPr>
              <w:spacing w:line="360" w:lineRule="exact"/>
              <w:jc w:val="center"/>
              <w:rPr>
                <w:color w:val="auto"/>
                <w:szCs w:val="21"/>
              </w:rPr>
            </w:pPr>
            <w:r>
              <w:rPr>
                <w:rFonts w:hint="eastAsia"/>
                <w:color w:val="auto"/>
                <w:szCs w:val="21"/>
              </w:rPr>
              <w:t>招（议）标文件澄清发出的形式</w:t>
            </w:r>
          </w:p>
        </w:tc>
        <w:tc>
          <w:tcPr>
            <w:tcW w:w="4394"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rPr>
                <w:rFonts w:hint="eastAsia" w:eastAsia="宋体"/>
                <w:color w:val="auto"/>
                <w:szCs w:val="21"/>
                <w:lang w:eastAsia="zh-CN"/>
              </w:rPr>
            </w:pPr>
            <w:r>
              <w:rPr>
                <w:rFonts w:hint="eastAsia"/>
                <w:color w:val="auto"/>
                <w:szCs w:val="21"/>
              </w:rPr>
              <w:t>在</w:t>
            </w:r>
            <w:r>
              <w:rPr>
                <w:rFonts w:hint="eastAsia"/>
                <w:color w:val="auto"/>
                <w:highlight w:val="none"/>
                <w:lang w:eastAsia="zh-CN"/>
              </w:rPr>
              <w:t>湘煤立达矿山装备股份有限公司官网（http://www.xmldks.com/）</w:t>
            </w:r>
            <w:r>
              <w:rPr>
                <w:color w:val="auto"/>
                <w:highlight w:val="none"/>
              </w:rPr>
              <w:t>上</w:t>
            </w:r>
            <w:r>
              <w:rPr>
                <w:rFonts w:hint="eastAsia"/>
                <w:color w:val="auto"/>
                <w:szCs w:val="21"/>
              </w:rPr>
              <w:t>发出</w:t>
            </w:r>
            <w:r>
              <w:rPr>
                <w:rFonts w:hint="eastAsia"/>
                <w:color w:val="auto"/>
                <w:szCs w:val="21"/>
                <w:lang w:eastAsia="zh-CN"/>
              </w:rPr>
              <w:t>。</w:t>
            </w:r>
          </w:p>
        </w:tc>
      </w:tr>
      <w:tr>
        <w:tblPrEx>
          <w:tblCellMar>
            <w:top w:w="0" w:type="dxa"/>
            <w:left w:w="108" w:type="dxa"/>
            <w:bottom w:w="0" w:type="dxa"/>
            <w:right w:w="108" w:type="dxa"/>
          </w:tblCellMar>
        </w:tblPrEx>
        <w:trPr>
          <w:trHeight w:val="539" w:hRule="atLeast"/>
        </w:trPr>
        <w:tc>
          <w:tcPr>
            <w:tcW w:w="1165" w:type="dxa"/>
            <w:vMerge w:val="restart"/>
            <w:tcBorders>
              <w:top w:val="single" w:color="auto" w:sz="4" w:space="0"/>
              <w:left w:val="single" w:color="auto" w:sz="4" w:space="0"/>
              <w:right w:val="single" w:color="auto" w:sz="4" w:space="0"/>
            </w:tcBorders>
            <w:vAlign w:val="center"/>
          </w:tcPr>
          <w:p>
            <w:pPr>
              <w:spacing w:line="360" w:lineRule="exact"/>
              <w:jc w:val="center"/>
              <w:rPr>
                <w:rFonts w:hint="default" w:eastAsia="宋体"/>
                <w:color w:val="auto"/>
                <w:szCs w:val="21"/>
                <w:lang w:val="en-US" w:eastAsia="zh-CN"/>
              </w:rPr>
            </w:pPr>
            <w:r>
              <w:rPr>
                <w:rFonts w:hint="eastAsia"/>
                <w:color w:val="auto"/>
                <w:szCs w:val="21"/>
                <w:lang w:val="en-US" w:eastAsia="zh-CN"/>
              </w:rPr>
              <w:t>13</w:t>
            </w:r>
          </w:p>
        </w:tc>
        <w:tc>
          <w:tcPr>
            <w:tcW w:w="3678" w:type="dxa"/>
            <w:vMerge w:val="restart"/>
            <w:tcBorders>
              <w:top w:val="single" w:color="auto" w:sz="4" w:space="0"/>
              <w:left w:val="single" w:color="auto" w:sz="4" w:space="0"/>
              <w:right w:val="single" w:color="auto" w:sz="4" w:space="0"/>
            </w:tcBorders>
            <w:vAlign w:val="center"/>
          </w:tcPr>
          <w:p>
            <w:pPr>
              <w:spacing w:line="360" w:lineRule="exact"/>
              <w:jc w:val="center"/>
              <w:rPr>
                <w:color w:val="auto"/>
                <w:szCs w:val="21"/>
              </w:rPr>
            </w:pPr>
            <w:r>
              <w:rPr>
                <w:rFonts w:hint="eastAsia"/>
                <w:color w:val="auto"/>
                <w:szCs w:val="21"/>
              </w:rPr>
              <w:t>投标人确认收到招（议）标文件澄清</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both"/>
              <w:rPr>
                <w:color w:val="auto"/>
                <w:szCs w:val="21"/>
              </w:rPr>
            </w:pPr>
            <w:r>
              <w:rPr>
                <w:rFonts w:hint="eastAsia"/>
                <w:color w:val="auto"/>
                <w:szCs w:val="21"/>
                <w:highlight w:val="white"/>
              </w:rPr>
              <w:t>时间：无需确认</w:t>
            </w:r>
          </w:p>
        </w:tc>
      </w:tr>
      <w:tr>
        <w:tblPrEx>
          <w:tblCellMar>
            <w:top w:w="0" w:type="dxa"/>
            <w:left w:w="108" w:type="dxa"/>
            <w:bottom w:w="0" w:type="dxa"/>
            <w:right w:w="108" w:type="dxa"/>
          </w:tblCellMar>
        </w:tblPrEx>
        <w:trPr>
          <w:trHeight w:val="539" w:hRule="atLeast"/>
        </w:trPr>
        <w:tc>
          <w:tcPr>
            <w:tcW w:w="1165" w:type="dxa"/>
            <w:vMerge w:val="continue"/>
            <w:tcBorders>
              <w:left w:val="single" w:color="auto" w:sz="4" w:space="0"/>
              <w:bottom w:val="single" w:color="auto" w:sz="4" w:space="0"/>
              <w:right w:val="single" w:color="auto" w:sz="4" w:space="0"/>
            </w:tcBorders>
            <w:vAlign w:val="center"/>
          </w:tcPr>
          <w:p>
            <w:pPr>
              <w:spacing w:line="360" w:lineRule="exact"/>
              <w:jc w:val="center"/>
              <w:rPr>
                <w:color w:val="auto"/>
                <w:szCs w:val="21"/>
              </w:rPr>
            </w:pPr>
          </w:p>
        </w:tc>
        <w:tc>
          <w:tcPr>
            <w:tcW w:w="3678" w:type="dxa"/>
            <w:vMerge w:val="continue"/>
            <w:tcBorders>
              <w:left w:val="single" w:color="auto" w:sz="4" w:space="0"/>
              <w:bottom w:val="single" w:color="auto" w:sz="4" w:space="0"/>
              <w:right w:val="single" w:color="auto" w:sz="4" w:space="0"/>
            </w:tcBorders>
            <w:vAlign w:val="center"/>
          </w:tcPr>
          <w:p>
            <w:pPr>
              <w:spacing w:line="360" w:lineRule="exact"/>
              <w:jc w:val="center"/>
              <w:rPr>
                <w:color w:val="auto"/>
                <w:szCs w:val="21"/>
              </w:rPr>
            </w:pPr>
          </w:p>
        </w:tc>
        <w:tc>
          <w:tcPr>
            <w:tcW w:w="4394"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both"/>
              <w:rPr>
                <w:color w:val="auto"/>
                <w:szCs w:val="21"/>
              </w:rPr>
            </w:pPr>
            <w:r>
              <w:rPr>
                <w:rFonts w:hint="eastAsia"/>
                <w:color w:val="auto"/>
                <w:szCs w:val="21"/>
                <w:highlight w:val="white"/>
              </w:rPr>
              <w:t>形式：自行查阅</w:t>
            </w:r>
          </w:p>
        </w:tc>
      </w:tr>
      <w:tr>
        <w:tblPrEx>
          <w:tblCellMar>
            <w:top w:w="0" w:type="dxa"/>
            <w:left w:w="108" w:type="dxa"/>
            <w:bottom w:w="0" w:type="dxa"/>
            <w:right w:w="108" w:type="dxa"/>
          </w:tblCellMar>
        </w:tblPrEx>
        <w:trPr>
          <w:trHeight w:val="737" w:hRule="atLeast"/>
        </w:trPr>
        <w:tc>
          <w:tcPr>
            <w:tcW w:w="1165" w:type="dxa"/>
            <w:tcBorders>
              <w:left w:val="single" w:color="auto" w:sz="4" w:space="0"/>
              <w:bottom w:val="single" w:color="auto" w:sz="4" w:space="0"/>
              <w:right w:val="single" w:color="auto" w:sz="4" w:space="0"/>
            </w:tcBorders>
            <w:vAlign w:val="center"/>
          </w:tcPr>
          <w:p>
            <w:pPr>
              <w:spacing w:line="360" w:lineRule="exact"/>
              <w:jc w:val="center"/>
              <w:rPr>
                <w:rFonts w:hint="default" w:eastAsia="宋体"/>
                <w:color w:val="auto"/>
                <w:szCs w:val="21"/>
                <w:lang w:val="en-US" w:eastAsia="zh-CN"/>
              </w:rPr>
            </w:pPr>
            <w:r>
              <w:rPr>
                <w:rFonts w:hint="eastAsia"/>
                <w:color w:val="auto"/>
                <w:szCs w:val="21"/>
                <w:lang w:val="en-US" w:eastAsia="zh-CN"/>
              </w:rPr>
              <w:t>14</w:t>
            </w:r>
          </w:p>
        </w:tc>
        <w:tc>
          <w:tcPr>
            <w:tcW w:w="3678" w:type="dxa"/>
            <w:tcBorders>
              <w:left w:val="single" w:color="auto" w:sz="4" w:space="0"/>
              <w:bottom w:val="single" w:color="auto" w:sz="4" w:space="0"/>
              <w:right w:val="single" w:color="auto" w:sz="4" w:space="0"/>
            </w:tcBorders>
            <w:vAlign w:val="center"/>
          </w:tcPr>
          <w:p>
            <w:pPr>
              <w:spacing w:line="360" w:lineRule="exact"/>
              <w:jc w:val="center"/>
              <w:rPr>
                <w:color w:val="auto"/>
                <w:szCs w:val="21"/>
              </w:rPr>
            </w:pPr>
            <w:r>
              <w:rPr>
                <w:rFonts w:hint="eastAsia"/>
                <w:color w:val="auto"/>
                <w:szCs w:val="21"/>
              </w:rPr>
              <w:t>招（议）标文件修改发出的形式</w:t>
            </w:r>
          </w:p>
        </w:tc>
        <w:tc>
          <w:tcPr>
            <w:tcW w:w="4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center" w:pos="2519"/>
                <w:tab w:val="right" w:pos="8895"/>
              </w:tabs>
              <w:kinsoku/>
              <w:wordWrap/>
              <w:overflowPunct/>
              <w:topLinePunct w:val="0"/>
              <w:autoSpaceDE/>
              <w:autoSpaceDN/>
              <w:bidi w:val="0"/>
              <w:adjustRightInd/>
              <w:snapToGrid/>
              <w:spacing w:after="0" w:line="272" w:lineRule="auto"/>
              <w:ind w:left="0" w:leftChars="0" w:firstLine="0" w:firstLineChars="0"/>
              <w:textAlignment w:val="auto"/>
              <w:rPr>
                <w:rFonts w:hint="eastAsia" w:eastAsia="宋体"/>
                <w:color w:val="auto"/>
                <w:szCs w:val="21"/>
                <w:lang w:eastAsia="zh-CN"/>
              </w:rPr>
            </w:pPr>
            <w:r>
              <w:rPr>
                <w:rFonts w:hint="eastAsia"/>
                <w:color w:val="auto"/>
                <w:szCs w:val="21"/>
              </w:rPr>
              <w:t>在</w:t>
            </w:r>
            <w:r>
              <w:rPr>
                <w:rFonts w:hint="eastAsia"/>
                <w:color w:val="auto"/>
                <w:highlight w:val="none"/>
                <w:lang w:eastAsia="zh-CN"/>
              </w:rPr>
              <w:t>湘煤立达矿山装备股份有限公司官网（http://www.xmldks.com/）</w:t>
            </w:r>
            <w:r>
              <w:rPr>
                <w:color w:val="auto"/>
                <w:highlight w:val="none"/>
              </w:rPr>
              <w:t>上</w:t>
            </w:r>
            <w:r>
              <w:rPr>
                <w:rFonts w:hint="eastAsia"/>
                <w:color w:val="auto"/>
                <w:szCs w:val="21"/>
              </w:rPr>
              <w:t>发出</w:t>
            </w:r>
            <w:r>
              <w:rPr>
                <w:rFonts w:hint="eastAsia"/>
                <w:color w:val="auto"/>
                <w:szCs w:val="21"/>
                <w:lang w:eastAsia="zh-CN"/>
              </w:rPr>
              <w:t>。</w:t>
            </w:r>
          </w:p>
        </w:tc>
      </w:tr>
      <w:tr>
        <w:tblPrEx>
          <w:tblCellMar>
            <w:top w:w="0" w:type="dxa"/>
            <w:left w:w="108" w:type="dxa"/>
            <w:bottom w:w="0" w:type="dxa"/>
            <w:right w:w="108" w:type="dxa"/>
          </w:tblCellMar>
        </w:tblPrEx>
        <w:trPr>
          <w:trHeight w:val="539" w:hRule="atLeast"/>
        </w:trPr>
        <w:tc>
          <w:tcPr>
            <w:tcW w:w="1165" w:type="dxa"/>
            <w:vMerge w:val="restart"/>
            <w:tcBorders>
              <w:top w:val="single" w:color="auto" w:sz="4" w:space="0"/>
              <w:left w:val="single" w:color="auto" w:sz="4" w:space="0"/>
              <w:right w:val="single" w:color="auto" w:sz="4" w:space="0"/>
            </w:tcBorders>
            <w:vAlign w:val="center"/>
          </w:tcPr>
          <w:p>
            <w:pPr>
              <w:spacing w:line="360" w:lineRule="exact"/>
              <w:jc w:val="center"/>
              <w:rPr>
                <w:rFonts w:hint="default" w:eastAsia="宋体"/>
                <w:color w:val="auto"/>
                <w:szCs w:val="21"/>
                <w:lang w:val="en-US" w:eastAsia="zh-CN"/>
              </w:rPr>
            </w:pPr>
            <w:r>
              <w:rPr>
                <w:rFonts w:hint="eastAsia"/>
                <w:color w:val="auto"/>
                <w:szCs w:val="21"/>
                <w:lang w:val="en-US" w:eastAsia="zh-CN"/>
              </w:rPr>
              <w:t>15</w:t>
            </w:r>
          </w:p>
        </w:tc>
        <w:tc>
          <w:tcPr>
            <w:tcW w:w="3678" w:type="dxa"/>
            <w:vMerge w:val="restart"/>
            <w:tcBorders>
              <w:top w:val="single" w:color="auto" w:sz="4" w:space="0"/>
              <w:left w:val="single" w:color="auto" w:sz="4" w:space="0"/>
              <w:right w:val="single" w:color="auto" w:sz="4" w:space="0"/>
            </w:tcBorders>
            <w:vAlign w:val="center"/>
          </w:tcPr>
          <w:p>
            <w:pPr>
              <w:spacing w:line="360" w:lineRule="exact"/>
              <w:jc w:val="center"/>
              <w:rPr>
                <w:color w:val="auto"/>
                <w:szCs w:val="21"/>
              </w:rPr>
            </w:pPr>
            <w:r>
              <w:rPr>
                <w:rFonts w:hint="eastAsia"/>
                <w:color w:val="auto"/>
                <w:szCs w:val="21"/>
              </w:rPr>
              <w:t>投标人确认收到招（议）标文件修改</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both"/>
              <w:rPr>
                <w:color w:val="auto"/>
                <w:szCs w:val="21"/>
              </w:rPr>
            </w:pPr>
            <w:r>
              <w:rPr>
                <w:rFonts w:hint="eastAsia"/>
                <w:color w:val="auto"/>
                <w:szCs w:val="21"/>
                <w:highlight w:val="white"/>
              </w:rPr>
              <w:t>时间：无需确认</w:t>
            </w:r>
          </w:p>
        </w:tc>
      </w:tr>
      <w:tr>
        <w:tblPrEx>
          <w:tblCellMar>
            <w:top w:w="0" w:type="dxa"/>
            <w:left w:w="108" w:type="dxa"/>
            <w:bottom w:w="0" w:type="dxa"/>
            <w:right w:w="108" w:type="dxa"/>
          </w:tblCellMar>
        </w:tblPrEx>
        <w:trPr>
          <w:trHeight w:val="539" w:hRule="atLeast"/>
        </w:trPr>
        <w:tc>
          <w:tcPr>
            <w:tcW w:w="1165" w:type="dxa"/>
            <w:vMerge w:val="continue"/>
            <w:tcBorders>
              <w:left w:val="single" w:color="auto" w:sz="4" w:space="0"/>
              <w:bottom w:val="single" w:color="auto" w:sz="4" w:space="0"/>
              <w:right w:val="single" w:color="auto" w:sz="4" w:space="0"/>
            </w:tcBorders>
            <w:vAlign w:val="center"/>
          </w:tcPr>
          <w:p>
            <w:pPr>
              <w:spacing w:line="360" w:lineRule="exact"/>
              <w:jc w:val="center"/>
              <w:rPr>
                <w:color w:val="auto"/>
                <w:szCs w:val="21"/>
              </w:rPr>
            </w:pPr>
          </w:p>
        </w:tc>
        <w:tc>
          <w:tcPr>
            <w:tcW w:w="3678" w:type="dxa"/>
            <w:vMerge w:val="continue"/>
            <w:tcBorders>
              <w:left w:val="single" w:color="auto" w:sz="4" w:space="0"/>
              <w:bottom w:val="single" w:color="auto" w:sz="4" w:space="0"/>
              <w:right w:val="single" w:color="auto" w:sz="4" w:space="0"/>
            </w:tcBorders>
            <w:vAlign w:val="center"/>
          </w:tcPr>
          <w:p>
            <w:pPr>
              <w:spacing w:line="360" w:lineRule="exact"/>
              <w:jc w:val="center"/>
              <w:rPr>
                <w:color w:val="auto"/>
                <w:szCs w:val="21"/>
              </w:rPr>
            </w:pPr>
          </w:p>
        </w:tc>
        <w:tc>
          <w:tcPr>
            <w:tcW w:w="4394"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both"/>
              <w:rPr>
                <w:color w:val="auto"/>
                <w:szCs w:val="21"/>
              </w:rPr>
            </w:pPr>
            <w:r>
              <w:rPr>
                <w:rFonts w:hint="eastAsia"/>
                <w:color w:val="auto"/>
                <w:szCs w:val="21"/>
                <w:highlight w:val="white"/>
              </w:rPr>
              <w:t>形式：自行查阅</w:t>
            </w:r>
          </w:p>
        </w:tc>
      </w:tr>
      <w:tr>
        <w:tblPrEx>
          <w:tblCellMar>
            <w:top w:w="0" w:type="dxa"/>
            <w:left w:w="108" w:type="dxa"/>
            <w:bottom w:w="0" w:type="dxa"/>
            <w:right w:w="108" w:type="dxa"/>
          </w:tblCellMar>
        </w:tblPrEx>
        <w:trPr>
          <w:trHeight w:val="539"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eastAsia="宋体"/>
                <w:color w:val="auto"/>
                <w:szCs w:val="21"/>
                <w:lang w:val="en-US" w:eastAsia="zh-CN"/>
              </w:rPr>
            </w:pPr>
            <w:r>
              <w:rPr>
                <w:rFonts w:hint="eastAsia"/>
                <w:color w:val="auto"/>
                <w:szCs w:val="21"/>
                <w:lang w:val="en-US" w:eastAsia="zh-CN"/>
              </w:rPr>
              <w:t>16</w:t>
            </w:r>
          </w:p>
        </w:tc>
        <w:tc>
          <w:tcPr>
            <w:tcW w:w="367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Cs w:val="21"/>
              </w:rPr>
            </w:pPr>
            <w:r>
              <w:rPr>
                <w:rFonts w:hint="eastAsia"/>
                <w:color w:val="auto"/>
                <w:szCs w:val="21"/>
              </w:rPr>
              <w:t>构成投标文件的其他资料</w:t>
            </w:r>
          </w:p>
        </w:tc>
        <w:tc>
          <w:tcPr>
            <w:tcW w:w="4394" w:type="dxa"/>
            <w:tcBorders>
              <w:top w:val="single" w:color="auto" w:sz="4" w:space="0"/>
              <w:left w:val="single" w:color="auto" w:sz="4" w:space="0"/>
              <w:bottom w:val="single" w:color="auto" w:sz="4" w:space="0"/>
              <w:right w:val="single" w:color="auto" w:sz="4" w:space="0"/>
            </w:tcBorders>
            <w:vAlign w:val="center"/>
          </w:tcPr>
          <w:p>
            <w:pPr>
              <w:spacing w:line="360" w:lineRule="exact"/>
              <w:rPr>
                <w:color w:val="auto"/>
                <w:szCs w:val="21"/>
              </w:rPr>
            </w:pPr>
            <w:r>
              <w:rPr>
                <w:rFonts w:hint="eastAsia"/>
                <w:color w:val="auto"/>
                <w:szCs w:val="21"/>
              </w:rPr>
              <w:t>无</w:t>
            </w:r>
          </w:p>
        </w:tc>
      </w:tr>
      <w:tr>
        <w:tblPrEx>
          <w:tblCellMar>
            <w:top w:w="0" w:type="dxa"/>
            <w:left w:w="108" w:type="dxa"/>
            <w:bottom w:w="0" w:type="dxa"/>
            <w:right w:w="108" w:type="dxa"/>
          </w:tblCellMar>
        </w:tblPrEx>
        <w:trPr>
          <w:trHeight w:val="539"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eastAsia="宋体"/>
                <w:color w:val="auto"/>
                <w:szCs w:val="21"/>
                <w:lang w:val="en-US" w:eastAsia="zh-CN"/>
              </w:rPr>
            </w:pPr>
            <w:r>
              <w:rPr>
                <w:rFonts w:hint="eastAsia"/>
                <w:color w:val="auto"/>
                <w:szCs w:val="21"/>
                <w:lang w:val="en-US" w:eastAsia="zh-CN"/>
              </w:rPr>
              <w:t>17</w:t>
            </w:r>
          </w:p>
        </w:tc>
        <w:tc>
          <w:tcPr>
            <w:tcW w:w="367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Cs w:val="21"/>
              </w:rPr>
            </w:pPr>
            <w:r>
              <w:rPr>
                <w:rFonts w:hint="eastAsia"/>
                <w:color w:val="auto"/>
                <w:szCs w:val="21"/>
              </w:rPr>
              <w:t>增值税税金的计算方法</w:t>
            </w:r>
          </w:p>
        </w:tc>
        <w:tc>
          <w:tcPr>
            <w:tcW w:w="4394" w:type="dxa"/>
            <w:tcBorders>
              <w:top w:val="single" w:color="auto" w:sz="4" w:space="0"/>
              <w:left w:val="single" w:color="auto" w:sz="4" w:space="0"/>
              <w:bottom w:val="single" w:color="auto" w:sz="4" w:space="0"/>
              <w:right w:val="single" w:color="auto" w:sz="4" w:space="0"/>
            </w:tcBorders>
            <w:vAlign w:val="center"/>
          </w:tcPr>
          <w:p>
            <w:pPr>
              <w:spacing w:line="360" w:lineRule="exact"/>
              <w:rPr>
                <w:color w:val="auto"/>
                <w:szCs w:val="21"/>
                <w:highlight w:val="white"/>
              </w:rPr>
            </w:pPr>
            <w:r>
              <w:rPr>
                <w:rFonts w:hint="eastAsia"/>
                <w:color w:val="auto"/>
                <w:szCs w:val="21"/>
                <w:highlight w:val="white"/>
              </w:rPr>
              <w:t>按国家规定相关计税方法。</w:t>
            </w:r>
          </w:p>
          <w:p>
            <w:pPr>
              <w:spacing w:line="360" w:lineRule="exact"/>
              <w:rPr>
                <w:color w:val="auto"/>
                <w:szCs w:val="21"/>
              </w:rPr>
            </w:pPr>
            <w:r>
              <w:rPr>
                <w:rFonts w:hint="eastAsia"/>
                <w:color w:val="auto"/>
                <w:szCs w:val="21"/>
                <w:highlight w:val="white"/>
              </w:rPr>
              <w:t>专用增值税税率为</w:t>
            </w:r>
            <w:bookmarkStart w:id="32" w:name="PO_projectTaxRate"/>
            <w:r>
              <w:rPr>
                <w:rFonts w:hint="eastAsia"/>
                <w:color w:val="auto"/>
                <w:szCs w:val="21"/>
                <w:highlight w:val="white"/>
                <w:lang w:eastAsia="zh-CN"/>
              </w:rPr>
              <w:t>13</w:t>
            </w:r>
            <w:bookmarkEnd w:id="32"/>
            <w:r>
              <w:rPr>
                <w:rFonts w:hint="eastAsia"/>
                <w:color w:val="auto"/>
                <w:szCs w:val="21"/>
                <w:highlight w:val="white"/>
              </w:rPr>
              <w:t>%。</w:t>
            </w:r>
          </w:p>
        </w:tc>
      </w:tr>
      <w:tr>
        <w:tblPrEx>
          <w:tblCellMar>
            <w:top w:w="0" w:type="dxa"/>
            <w:left w:w="108" w:type="dxa"/>
            <w:bottom w:w="0" w:type="dxa"/>
            <w:right w:w="108" w:type="dxa"/>
          </w:tblCellMar>
        </w:tblPrEx>
        <w:trPr>
          <w:trHeight w:val="539"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eastAsia="宋体"/>
                <w:color w:val="auto"/>
                <w:szCs w:val="21"/>
                <w:lang w:val="en-US" w:eastAsia="zh-CN"/>
              </w:rPr>
            </w:pPr>
            <w:r>
              <w:rPr>
                <w:rFonts w:hint="eastAsia"/>
                <w:color w:val="auto"/>
                <w:szCs w:val="21"/>
                <w:lang w:val="en-US" w:eastAsia="zh-CN"/>
              </w:rPr>
              <w:t>18</w:t>
            </w:r>
          </w:p>
        </w:tc>
        <w:tc>
          <w:tcPr>
            <w:tcW w:w="367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Cs w:val="21"/>
              </w:rPr>
            </w:pPr>
            <w:r>
              <w:rPr>
                <w:rFonts w:hint="eastAsia"/>
                <w:color w:val="auto"/>
                <w:szCs w:val="21"/>
              </w:rPr>
              <w:t>最高投标限价</w:t>
            </w:r>
          </w:p>
        </w:tc>
        <w:tc>
          <w:tcPr>
            <w:tcW w:w="4394"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rPr>
                <w:color w:val="auto"/>
                <w:szCs w:val="21"/>
              </w:rPr>
            </w:pPr>
            <w:r>
              <w:rPr>
                <w:rFonts w:hint="eastAsia"/>
                <w:color w:val="auto"/>
                <w:szCs w:val="21"/>
              </w:rPr>
              <w:t>无</w:t>
            </w:r>
          </w:p>
        </w:tc>
      </w:tr>
      <w:tr>
        <w:tblPrEx>
          <w:tblCellMar>
            <w:top w:w="0" w:type="dxa"/>
            <w:left w:w="108" w:type="dxa"/>
            <w:bottom w:w="0" w:type="dxa"/>
            <w:right w:w="108" w:type="dxa"/>
          </w:tblCellMar>
        </w:tblPrEx>
        <w:trPr>
          <w:trHeight w:val="539" w:hRule="atLeast"/>
        </w:trPr>
        <w:tc>
          <w:tcPr>
            <w:tcW w:w="1165" w:type="dxa"/>
            <w:tcBorders>
              <w:left w:val="single" w:color="auto" w:sz="4" w:space="0"/>
              <w:right w:val="single" w:color="auto" w:sz="4" w:space="0"/>
            </w:tcBorders>
            <w:vAlign w:val="center"/>
          </w:tcPr>
          <w:p>
            <w:pPr>
              <w:spacing w:line="360" w:lineRule="exact"/>
              <w:jc w:val="center"/>
              <w:rPr>
                <w:rFonts w:hint="default" w:eastAsia="宋体"/>
                <w:color w:val="auto"/>
                <w:szCs w:val="21"/>
                <w:lang w:val="en-US" w:eastAsia="zh-CN"/>
              </w:rPr>
            </w:pPr>
            <w:r>
              <w:rPr>
                <w:rFonts w:hint="eastAsia"/>
                <w:color w:val="auto"/>
                <w:szCs w:val="21"/>
                <w:lang w:val="en-US" w:eastAsia="zh-CN"/>
              </w:rPr>
              <w:t>19</w:t>
            </w:r>
          </w:p>
        </w:tc>
        <w:tc>
          <w:tcPr>
            <w:tcW w:w="3678" w:type="dxa"/>
            <w:tcBorders>
              <w:top w:val="single" w:color="auto" w:sz="4" w:space="0"/>
              <w:left w:val="single" w:color="auto" w:sz="4" w:space="0"/>
              <w:bottom w:val="single" w:color="auto" w:sz="4" w:space="0"/>
              <w:right w:val="single" w:color="auto" w:sz="4" w:space="0"/>
            </w:tcBorders>
            <w:vAlign w:val="center"/>
          </w:tcPr>
          <w:p>
            <w:pPr>
              <w:spacing w:after="0" w:line="259" w:lineRule="auto"/>
              <w:ind w:left="7" w:firstLine="0"/>
              <w:jc w:val="center"/>
              <w:rPr>
                <w:color w:val="auto"/>
                <w:szCs w:val="21"/>
              </w:rPr>
            </w:pPr>
            <w:r>
              <w:rPr>
                <w:rFonts w:hint="eastAsia"/>
                <w:color w:val="auto"/>
              </w:rPr>
              <w:t>投标报价</w:t>
            </w:r>
          </w:p>
        </w:tc>
        <w:tc>
          <w:tcPr>
            <w:tcW w:w="4394"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360" w:lineRule="exact"/>
              <w:ind w:left="0" w:leftChars="0" w:firstLine="0" w:firstLineChars="0"/>
              <w:textAlignment w:val="auto"/>
              <w:rPr>
                <w:rFonts w:hint="eastAsia" w:eastAsia="宋体"/>
                <w:color w:val="auto"/>
                <w:szCs w:val="21"/>
                <w:lang w:eastAsia="zh-CN"/>
              </w:rPr>
            </w:pPr>
            <w:r>
              <w:rPr>
                <w:rFonts w:hint="eastAsia"/>
                <w:color w:val="auto"/>
                <w:szCs w:val="21"/>
                <w:lang w:eastAsia="zh-CN"/>
              </w:rPr>
              <w:t>投标人进行一次报价</w:t>
            </w:r>
          </w:p>
        </w:tc>
      </w:tr>
      <w:tr>
        <w:tblPrEx>
          <w:tblCellMar>
            <w:top w:w="0" w:type="dxa"/>
            <w:left w:w="108" w:type="dxa"/>
            <w:bottom w:w="0" w:type="dxa"/>
            <w:right w:w="108" w:type="dxa"/>
          </w:tblCellMar>
        </w:tblPrEx>
        <w:trPr>
          <w:trHeight w:val="567"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eastAsia="宋体"/>
                <w:color w:val="auto"/>
                <w:szCs w:val="21"/>
                <w:lang w:val="en-US" w:eastAsia="zh-CN"/>
              </w:rPr>
            </w:pPr>
            <w:r>
              <w:rPr>
                <w:rFonts w:hint="eastAsia"/>
                <w:color w:val="auto"/>
                <w:szCs w:val="21"/>
                <w:lang w:val="en-US" w:eastAsia="zh-CN"/>
              </w:rPr>
              <w:t>20</w:t>
            </w:r>
          </w:p>
        </w:tc>
        <w:tc>
          <w:tcPr>
            <w:tcW w:w="367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Cs w:val="21"/>
              </w:rPr>
            </w:pPr>
            <w:r>
              <w:rPr>
                <w:rFonts w:hint="eastAsia"/>
                <w:color w:val="auto"/>
                <w:szCs w:val="21"/>
              </w:rPr>
              <w:t>投标保证金</w:t>
            </w:r>
          </w:p>
        </w:tc>
        <w:tc>
          <w:tcPr>
            <w:tcW w:w="4394" w:type="dxa"/>
            <w:tcBorders>
              <w:top w:val="single" w:color="auto" w:sz="4" w:space="0"/>
              <w:left w:val="single" w:color="auto" w:sz="4" w:space="0"/>
              <w:bottom w:val="single" w:color="auto" w:sz="4" w:space="0"/>
              <w:right w:val="single" w:color="auto" w:sz="4" w:space="0"/>
            </w:tcBorders>
            <w:vAlign w:val="center"/>
          </w:tcPr>
          <w:p>
            <w:pPr>
              <w:pStyle w:val="9"/>
              <w:topLinePunct/>
              <w:spacing w:line="360" w:lineRule="exact"/>
              <w:rPr>
                <w:rFonts w:hint="eastAsia" w:eastAsia="宋体"/>
                <w:color w:val="auto"/>
                <w:sz w:val="21"/>
                <w:szCs w:val="21"/>
                <w:lang w:eastAsia="zh-CN"/>
              </w:rPr>
            </w:pPr>
            <w:r>
              <w:rPr>
                <w:rFonts w:hint="eastAsia"/>
                <w:color w:val="auto"/>
                <w:sz w:val="21"/>
                <w:szCs w:val="21"/>
                <w:lang w:eastAsia="zh-CN"/>
              </w:rPr>
              <w:t>无</w:t>
            </w:r>
          </w:p>
        </w:tc>
      </w:tr>
      <w:tr>
        <w:tblPrEx>
          <w:tblCellMar>
            <w:top w:w="0" w:type="dxa"/>
            <w:left w:w="108" w:type="dxa"/>
            <w:bottom w:w="0" w:type="dxa"/>
            <w:right w:w="108" w:type="dxa"/>
          </w:tblCellMar>
        </w:tblPrEx>
        <w:trPr>
          <w:trHeight w:val="567"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eastAsia="宋体"/>
                <w:color w:val="auto"/>
                <w:szCs w:val="21"/>
                <w:lang w:val="en-US" w:eastAsia="zh-CN"/>
              </w:rPr>
            </w:pPr>
            <w:r>
              <w:rPr>
                <w:rFonts w:hint="eastAsia"/>
                <w:color w:val="auto"/>
                <w:szCs w:val="21"/>
                <w:lang w:val="en-US" w:eastAsia="zh-CN"/>
              </w:rPr>
              <w:t>21</w:t>
            </w:r>
          </w:p>
        </w:tc>
        <w:tc>
          <w:tcPr>
            <w:tcW w:w="367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Cs w:val="21"/>
              </w:rPr>
            </w:pPr>
            <w:r>
              <w:rPr>
                <w:rFonts w:hint="eastAsia"/>
                <w:color w:val="auto"/>
                <w:szCs w:val="21"/>
              </w:rPr>
              <w:t>资格审查资料的特殊要求</w:t>
            </w:r>
          </w:p>
        </w:tc>
        <w:tc>
          <w:tcPr>
            <w:tcW w:w="4394" w:type="dxa"/>
            <w:tcBorders>
              <w:top w:val="single" w:color="auto" w:sz="4" w:space="0"/>
              <w:left w:val="single" w:color="auto" w:sz="4" w:space="0"/>
              <w:bottom w:val="single" w:color="auto" w:sz="4" w:space="0"/>
              <w:right w:val="single" w:color="auto" w:sz="4" w:space="0"/>
            </w:tcBorders>
            <w:vAlign w:val="center"/>
          </w:tcPr>
          <w:p>
            <w:pPr>
              <w:pStyle w:val="9"/>
              <w:topLinePunct/>
              <w:spacing w:line="360" w:lineRule="exact"/>
              <w:rPr>
                <w:color w:val="auto"/>
                <w:sz w:val="21"/>
                <w:szCs w:val="21"/>
              </w:rPr>
            </w:pPr>
            <w:r>
              <w:rPr>
                <w:rFonts w:hint="eastAsia"/>
                <w:color w:val="auto"/>
                <w:sz w:val="21"/>
                <w:szCs w:val="21"/>
              </w:rPr>
              <w:t>无</w:t>
            </w:r>
          </w:p>
        </w:tc>
      </w:tr>
      <w:tr>
        <w:tblPrEx>
          <w:tblCellMar>
            <w:top w:w="0" w:type="dxa"/>
            <w:left w:w="108" w:type="dxa"/>
            <w:bottom w:w="0" w:type="dxa"/>
            <w:right w:w="108" w:type="dxa"/>
          </w:tblCellMar>
        </w:tblPrEx>
        <w:trPr>
          <w:trHeight w:val="51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eastAsia="宋体"/>
                <w:color w:val="auto"/>
                <w:szCs w:val="21"/>
                <w:lang w:val="en-US" w:eastAsia="zh-CN"/>
              </w:rPr>
            </w:pPr>
            <w:r>
              <w:rPr>
                <w:rFonts w:hint="eastAsia"/>
                <w:color w:val="auto"/>
                <w:szCs w:val="21"/>
                <w:lang w:val="en-US" w:eastAsia="zh-CN"/>
              </w:rPr>
              <w:t>22</w:t>
            </w:r>
          </w:p>
        </w:tc>
        <w:tc>
          <w:tcPr>
            <w:tcW w:w="367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Cs w:val="21"/>
              </w:rPr>
            </w:pPr>
            <w:r>
              <w:rPr>
                <w:rFonts w:hint="eastAsia"/>
                <w:color w:val="auto"/>
                <w:szCs w:val="21"/>
              </w:rPr>
              <w:t>是否允许递交备选投标方案</w:t>
            </w:r>
          </w:p>
        </w:tc>
        <w:tc>
          <w:tcPr>
            <w:tcW w:w="4394" w:type="dxa"/>
            <w:tcBorders>
              <w:top w:val="single" w:color="auto" w:sz="4" w:space="0"/>
              <w:left w:val="single" w:color="auto" w:sz="4" w:space="0"/>
              <w:bottom w:val="single" w:color="auto" w:sz="4" w:space="0"/>
              <w:right w:val="single" w:color="auto" w:sz="4" w:space="0"/>
            </w:tcBorders>
            <w:vAlign w:val="center"/>
          </w:tcPr>
          <w:p>
            <w:pPr>
              <w:pStyle w:val="9"/>
              <w:topLinePunct/>
              <w:spacing w:line="360" w:lineRule="exact"/>
              <w:rPr>
                <w:color w:val="auto"/>
                <w:szCs w:val="21"/>
              </w:rPr>
            </w:pPr>
            <w:r>
              <w:rPr>
                <w:rFonts w:hint="eastAsia"/>
                <w:color w:val="auto"/>
                <w:sz w:val="21"/>
                <w:szCs w:val="21"/>
              </w:rPr>
              <w:t>不允许</w:t>
            </w:r>
          </w:p>
        </w:tc>
      </w:tr>
      <w:tr>
        <w:tblPrEx>
          <w:tblCellMar>
            <w:top w:w="0" w:type="dxa"/>
            <w:left w:w="108" w:type="dxa"/>
            <w:bottom w:w="0" w:type="dxa"/>
            <w:right w:w="108" w:type="dxa"/>
          </w:tblCellMar>
        </w:tblPrEx>
        <w:trPr>
          <w:trHeight w:val="51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eastAsia="宋体"/>
                <w:color w:val="auto"/>
                <w:szCs w:val="21"/>
                <w:lang w:val="en-US" w:eastAsia="zh-CN"/>
              </w:rPr>
            </w:pPr>
            <w:r>
              <w:rPr>
                <w:rFonts w:hint="eastAsia"/>
                <w:color w:val="auto"/>
                <w:szCs w:val="21"/>
                <w:lang w:val="en-US" w:eastAsia="zh-CN"/>
              </w:rPr>
              <w:t>23</w:t>
            </w:r>
          </w:p>
        </w:tc>
        <w:tc>
          <w:tcPr>
            <w:tcW w:w="367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Cs w:val="21"/>
              </w:rPr>
            </w:pPr>
            <w:r>
              <w:rPr>
                <w:rFonts w:hint="eastAsia"/>
                <w:color w:val="auto"/>
                <w:szCs w:val="21"/>
              </w:rPr>
              <w:t>投标文件所附证书证件要求</w:t>
            </w:r>
          </w:p>
        </w:tc>
        <w:tc>
          <w:tcPr>
            <w:tcW w:w="4394" w:type="dxa"/>
            <w:tcBorders>
              <w:top w:val="single" w:color="auto" w:sz="4" w:space="0"/>
              <w:left w:val="single" w:color="auto" w:sz="4" w:space="0"/>
              <w:bottom w:val="single" w:color="auto" w:sz="4" w:space="0"/>
              <w:right w:val="single" w:color="auto" w:sz="4" w:space="0"/>
            </w:tcBorders>
            <w:vAlign w:val="center"/>
          </w:tcPr>
          <w:p>
            <w:pPr>
              <w:pStyle w:val="9"/>
              <w:topLinePunct/>
              <w:spacing w:line="360" w:lineRule="exact"/>
              <w:rPr>
                <w:color w:val="auto"/>
                <w:sz w:val="21"/>
                <w:szCs w:val="21"/>
              </w:rPr>
            </w:pPr>
            <w:bookmarkStart w:id="33" w:name="EBfa923d60887f4de7b7f80720340444c7"/>
            <w:r>
              <w:rPr>
                <w:rFonts w:hint="eastAsia"/>
                <w:color w:val="auto"/>
                <w:sz w:val="21"/>
                <w:szCs w:val="21"/>
                <w:highlight w:val="white"/>
              </w:rPr>
              <w:t>按招（议）标文件要求</w:t>
            </w:r>
            <w:bookmarkEnd w:id="33"/>
          </w:p>
        </w:tc>
      </w:tr>
      <w:tr>
        <w:tblPrEx>
          <w:tblCellMar>
            <w:top w:w="0" w:type="dxa"/>
            <w:left w:w="108" w:type="dxa"/>
            <w:bottom w:w="0" w:type="dxa"/>
            <w:right w:w="108" w:type="dxa"/>
          </w:tblCellMar>
        </w:tblPrEx>
        <w:trPr>
          <w:trHeight w:val="51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eastAsia="宋体"/>
                <w:color w:val="auto"/>
                <w:szCs w:val="21"/>
                <w:lang w:val="en-US" w:eastAsia="zh-CN"/>
              </w:rPr>
            </w:pPr>
            <w:r>
              <w:rPr>
                <w:rFonts w:hint="eastAsia"/>
                <w:color w:val="auto"/>
                <w:szCs w:val="21"/>
                <w:lang w:val="en-US" w:eastAsia="zh-CN"/>
              </w:rPr>
              <w:t>24</w:t>
            </w:r>
          </w:p>
        </w:tc>
        <w:tc>
          <w:tcPr>
            <w:tcW w:w="367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Cs w:val="21"/>
              </w:rPr>
            </w:pPr>
            <w:r>
              <w:rPr>
                <w:rFonts w:hint="eastAsia"/>
                <w:color w:val="auto"/>
                <w:szCs w:val="21"/>
              </w:rPr>
              <w:t>投标人开标前应提供与电子投标文件一致的纸质投标文件要求</w:t>
            </w:r>
          </w:p>
        </w:tc>
        <w:tc>
          <w:tcPr>
            <w:tcW w:w="4394" w:type="dxa"/>
            <w:tcBorders>
              <w:top w:val="single" w:color="auto" w:sz="4" w:space="0"/>
              <w:left w:val="single" w:color="auto" w:sz="4" w:space="0"/>
              <w:bottom w:val="single" w:color="auto" w:sz="4" w:space="0"/>
              <w:right w:val="single" w:color="auto" w:sz="4" w:space="0"/>
            </w:tcBorders>
            <w:vAlign w:val="center"/>
          </w:tcPr>
          <w:p>
            <w:pPr>
              <w:pStyle w:val="9"/>
              <w:topLinePunct/>
              <w:spacing w:line="360" w:lineRule="exact"/>
              <w:rPr>
                <w:color w:val="auto"/>
                <w:sz w:val="21"/>
                <w:szCs w:val="21"/>
              </w:rPr>
            </w:pPr>
            <w:r>
              <w:rPr>
                <w:color w:val="auto"/>
                <w:sz w:val="21"/>
                <w:szCs w:val="21"/>
              </w:rPr>
              <w:t>文件份数为</w:t>
            </w:r>
            <w:r>
              <w:rPr>
                <w:rFonts w:hint="eastAsia"/>
                <w:color w:val="auto"/>
                <w:sz w:val="21"/>
                <w:szCs w:val="21"/>
              </w:rPr>
              <w:t>正本壹</w:t>
            </w:r>
            <w:r>
              <w:rPr>
                <w:color w:val="auto"/>
                <w:sz w:val="21"/>
                <w:szCs w:val="21"/>
              </w:rPr>
              <w:t>份</w:t>
            </w:r>
            <w:r>
              <w:rPr>
                <w:rFonts w:hint="eastAsia"/>
                <w:color w:val="auto"/>
                <w:sz w:val="21"/>
                <w:szCs w:val="21"/>
              </w:rPr>
              <w:t>，开标后递交或邮寄</w:t>
            </w:r>
          </w:p>
        </w:tc>
      </w:tr>
      <w:tr>
        <w:tblPrEx>
          <w:tblCellMar>
            <w:top w:w="0" w:type="dxa"/>
            <w:left w:w="108" w:type="dxa"/>
            <w:bottom w:w="0" w:type="dxa"/>
            <w:right w:w="108" w:type="dxa"/>
          </w:tblCellMar>
        </w:tblPrEx>
        <w:trPr>
          <w:trHeight w:val="51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eastAsia="宋体"/>
                <w:color w:val="auto"/>
                <w:szCs w:val="21"/>
                <w:lang w:val="en-US" w:eastAsia="zh-CN"/>
              </w:rPr>
            </w:pPr>
            <w:r>
              <w:rPr>
                <w:rFonts w:hint="eastAsia"/>
                <w:color w:val="auto"/>
                <w:szCs w:val="21"/>
                <w:lang w:val="en-US" w:eastAsia="zh-CN"/>
              </w:rPr>
              <w:t>25</w:t>
            </w:r>
          </w:p>
        </w:tc>
        <w:tc>
          <w:tcPr>
            <w:tcW w:w="367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Cs w:val="21"/>
              </w:rPr>
            </w:pPr>
            <w:r>
              <w:rPr>
                <w:rFonts w:hint="eastAsia"/>
                <w:color w:val="auto"/>
                <w:szCs w:val="21"/>
              </w:rPr>
              <w:t>投标截止时间</w:t>
            </w:r>
          </w:p>
        </w:tc>
        <w:tc>
          <w:tcPr>
            <w:tcW w:w="439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exact"/>
              <w:rPr>
                <w:color w:val="auto"/>
              </w:rPr>
            </w:pPr>
            <w:r>
              <w:rPr>
                <w:rFonts w:hint="eastAsia"/>
                <w:color w:val="auto"/>
              </w:rPr>
              <w:t>投标人必须在不迟于招（议）标文件中规定的投标截止时间将投标文件递交至</w:t>
            </w:r>
            <w:r>
              <w:rPr>
                <w:rFonts w:hint="eastAsia"/>
                <w:color w:val="auto"/>
                <w:lang w:eastAsia="zh-CN"/>
              </w:rPr>
              <w:t>招议标</w:t>
            </w:r>
            <w:r>
              <w:rPr>
                <w:rFonts w:hint="eastAsia"/>
                <w:color w:val="auto"/>
              </w:rPr>
              <w:t>文件中指定地点。</w:t>
            </w:r>
          </w:p>
          <w:p>
            <w:pPr>
              <w:pStyle w:val="12"/>
              <w:numPr>
                <w:ilvl w:val="0"/>
                <w:numId w:val="1"/>
              </w:numPr>
              <w:rPr>
                <w:color w:val="auto"/>
              </w:rPr>
            </w:pPr>
            <w:r>
              <w:rPr>
                <w:rFonts w:hint="eastAsia"/>
                <w:color w:val="auto"/>
                <w:lang w:eastAsia="zh-CN"/>
              </w:rPr>
              <w:t>招议标</w:t>
            </w:r>
            <w:r>
              <w:rPr>
                <w:rFonts w:hint="eastAsia"/>
                <w:color w:val="auto"/>
              </w:rPr>
              <w:t>机构可以修改</w:t>
            </w:r>
            <w:r>
              <w:rPr>
                <w:rFonts w:hint="eastAsia"/>
                <w:color w:val="auto"/>
                <w:lang w:eastAsia="zh-CN"/>
              </w:rPr>
              <w:t>招议标</w:t>
            </w:r>
            <w:r>
              <w:rPr>
                <w:rFonts w:hint="eastAsia"/>
                <w:color w:val="auto"/>
              </w:rPr>
              <w:t>文件并适当延长投标截止时间。在此情况下，</w:t>
            </w:r>
            <w:r>
              <w:rPr>
                <w:rFonts w:hint="eastAsia"/>
                <w:color w:val="auto"/>
                <w:lang w:eastAsia="zh-CN"/>
              </w:rPr>
              <w:t>招议标</w:t>
            </w:r>
            <w:r>
              <w:rPr>
                <w:rFonts w:hint="eastAsia"/>
                <w:color w:val="auto"/>
              </w:rPr>
              <w:t>方及投标人受投标截止时间制约的所有权利和义务均延长至新的投标截止时间。</w:t>
            </w:r>
          </w:p>
        </w:tc>
      </w:tr>
      <w:tr>
        <w:tblPrEx>
          <w:tblCellMar>
            <w:top w:w="0" w:type="dxa"/>
            <w:left w:w="108" w:type="dxa"/>
            <w:bottom w:w="0" w:type="dxa"/>
            <w:right w:w="108" w:type="dxa"/>
          </w:tblCellMar>
        </w:tblPrEx>
        <w:trPr>
          <w:trHeight w:val="510" w:hRule="atLeast"/>
        </w:trPr>
        <w:tc>
          <w:tcPr>
            <w:tcW w:w="1165" w:type="dxa"/>
            <w:tcBorders>
              <w:top w:val="single" w:color="auto" w:sz="4" w:space="0"/>
              <w:left w:val="single" w:color="auto" w:sz="4" w:space="0"/>
              <w:bottom w:val="nil"/>
              <w:right w:val="single" w:color="auto" w:sz="4" w:space="0"/>
            </w:tcBorders>
            <w:vAlign w:val="center"/>
          </w:tcPr>
          <w:p>
            <w:pPr>
              <w:spacing w:line="360" w:lineRule="exact"/>
              <w:jc w:val="center"/>
              <w:rPr>
                <w:rFonts w:hint="default" w:eastAsia="宋体"/>
                <w:color w:val="auto"/>
                <w:szCs w:val="21"/>
                <w:lang w:val="en-US" w:eastAsia="zh-CN"/>
              </w:rPr>
            </w:pPr>
            <w:r>
              <w:rPr>
                <w:rFonts w:hint="eastAsia"/>
                <w:color w:val="auto"/>
                <w:szCs w:val="21"/>
                <w:lang w:val="en-US" w:eastAsia="zh-CN"/>
              </w:rPr>
              <w:t>26</w:t>
            </w:r>
          </w:p>
        </w:tc>
        <w:tc>
          <w:tcPr>
            <w:tcW w:w="3678" w:type="dxa"/>
            <w:tcBorders>
              <w:top w:val="single" w:color="auto" w:sz="4" w:space="0"/>
              <w:left w:val="single" w:color="auto" w:sz="4" w:space="0"/>
              <w:bottom w:val="nil"/>
              <w:right w:val="single" w:color="auto" w:sz="4" w:space="0"/>
            </w:tcBorders>
            <w:vAlign w:val="center"/>
          </w:tcPr>
          <w:p>
            <w:pPr>
              <w:spacing w:line="360" w:lineRule="exact"/>
              <w:jc w:val="center"/>
              <w:rPr>
                <w:color w:val="auto"/>
                <w:szCs w:val="21"/>
              </w:rPr>
            </w:pPr>
            <w:r>
              <w:rPr>
                <w:rFonts w:hint="eastAsia"/>
                <w:color w:val="auto"/>
                <w:szCs w:val="21"/>
              </w:rPr>
              <w:t>开标时间及地点</w:t>
            </w:r>
          </w:p>
        </w:tc>
        <w:tc>
          <w:tcPr>
            <w:tcW w:w="4394" w:type="dxa"/>
            <w:tcBorders>
              <w:top w:val="single" w:color="auto" w:sz="4" w:space="0"/>
              <w:left w:val="single" w:color="auto" w:sz="4" w:space="0"/>
              <w:bottom w:val="nil"/>
              <w:right w:val="single" w:color="auto" w:sz="4" w:space="0"/>
            </w:tcBorders>
            <w:vAlign w:val="center"/>
          </w:tcPr>
          <w:p>
            <w:pPr>
              <w:spacing w:line="360" w:lineRule="exact"/>
              <w:rPr>
                <w:color w:val="auto"/>
                <w:szCs w:val="21"/>
              </w:rPr>
            </w:pPr>
            <w:r>
              <w:rPr>
                <w:rFonts w:hint="eastAsia"/>
                <w:color w:val="auto"/>
                <w:szCs w:val="21"/>
              </w:rPr>
              <w:t>开标时间</w:t>
            </w:r>
            <w:bookmarkStart w:id="34" w:name="PO_openTime_1"/>
            <w:r>
              <w:rPr>
                <w:rFonts w:hint="eastAsia"/>
                <w:color w:val="auto"/>
                <w:szCs w:val="21"/>
                <w:lang w:eastAsia="zh-CN"/>
              </w:rPr>
              <w:t>2022年0</w:t>
            </w:r>
            <w:r>
              <w:rPr>
                <w:rFonts w:hint="eastAsia"/>
                <w:color w:val="auto"/>
                <w:szCs w:val="21"/>
                <w:lang w:val="en-US" w:eastAsia="zh-CN"/>
              </w:rPr>
              <w:t>8</w:t>
            </w:r>
            <w:r>
              <w:rPr>
                <w:rFonts w:hint="eastAsia"/>
                <w:color w:val="auto"/>
                <w:szCs w:val="21"/>
                <w:lang w:eastAsia="zh-CN"/>
              </w:rPr>
              <w:t>月</w:t>
            </w:r>
            <w:r>
              <w:rPr>
                <w:rFonts w:hint="eastAsia"/>
                <w:color w:val="auto"/>
                <w:szCs w:val="21"/>
                <w:lang w:val="en-US" w:eastAsia="zh-CN"/>
              </w:rPr>
              <w:t>5</w:t>
            </w:r>
            <w:r>
              <w:rPr>
                <w:rFonts w:hint="eastAsia"/>
                <w:color w:val="auto"/>
                <w:szCs w:val="21"/>
                <w:lang w:eastAsia="zh-CN"/>
              </w:rPr>
              <w:t>日09:00:00时</w:t>
            </w:r>
            <w:bookmarkEnd w:id="34"/>
            <w:r>
              <w:rPr>
                <w:rFonts w:hint="eastAsia"/>
                <w:color w:val="auto"/>
                <w:szCs w:val="21"/>
              </w:rPr>
              <w:t>：</w:t>
            </w:r>
          </w:p>
          <w:p>
            <w:pPr>
              <w:spacing w:line="360" w:lineRule="exact"/>
              <w:rPr>
                <w:color w:val="auto"/>
                <w:szCs w:val="21"/>
              </w:rPr>
            </w:pPr>
            <w:r>
              <w:rPr>
                <w:rFonts w:hint="eastAsia"/>
                <w:color w:val="auto"/>
                <w:szCs w:val="21"/>
              </w:rPr>
              <w:t>开标地点</w:t>
            </w:r>
            <w:r>
              <w:rPr>
                <w:rFonts w:hint="eastAsia"/>
                <w:color w:val="auto"/>
                <w:szCs w:val="21"/>
                <w:lang w:eastAsia="zh-CN"/>
              </w:rPr>
              <w:t>湘煤立达矿山装备股份有限公司五楼会议室</w:t>
            </w:r>
          </w:p>
        </w:tc>
      </w:tr>
      <w:tr>
        <w:tblPrEx>
          <w:tblCellMar>
            <w:top w:w="0" w:type="dxa"/>
            <w:left w:w="108" w:type="dxa"/>
            <w:bottom w:w="0" w:type="dxa"/>
            <w:right w:w="108" w:type="dxa"/>
          </w:tblCellMar>
        </w:tblPrEx>
        <w:trPr>
          <w:trHeight w:val="51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eastAsia="宋体"/>
                <w:color w:val="auto"/>
                <w:szCs w:val="21"/>
                <w:lang w:val="en-US" w:eastAsia="zh-CN"/>
              </w:rPr>
            </w:pPr>
            <w:r>
              <w:rPr>
                <w:rFonts w:hint="eastAsia"/>
                <w:color w:val="auto"/>
                <w:szCs w:val="21"/>
                <w:lang w:val="en-US" w:eastAsia="zh-CN"/>
              </w:rPr>
              <w:t>27</w:t>
            </w:r>
          </w:p>
        </w:tc>
        <w:tc>
          <w:tcPr>
            <w:tcW w:w="367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Cs w:val="21"/>
              </w:rPr>
            </w:pPr>
            <w:r>
              <w:rPr>
                <w:rFonts w:hint="eastAsia"/>
                <w:color w:val="auto"/>
                <w:szCs w:val="21"/>
              </w:rPr>
              <w:t>评标委员会的组建</w:t>
            </w:r>
          </w:p>
        </w:tc>
        <w:tc>
          <w:tcPr>
            <w:tcW w:w="4394" w:type="dxa"/>
            <w:tcBorders>
              <w:top w:val="single" w:color="auto" w:sz="4" w:space="0"/>
              <w:left w:val="single" w:color="auto" w:sz="4" w:space="0"/>
              <w:bottom w:val="single" w:color="auto" w:sz="4" w:space="0"/>
              <w:right w:val="single" w:color="auto" w:sz="4" w:space="0"/>
            </w:tcBorders>
            <w:vAlign w:val="center"/>
          </w:tcPr>
          <w:p>
            <w:pPr>
              <w:spacing w:line="360" w:lineRule="exact"/>
              <w:rPr>
                <w:color w:val="auto"/>
                <w:szCs w:val="21"/>
              </w:rPr>
            </w:pPr>
            <w:r>
              <w:rPr>
                <w:rFonts w:hint="eastAsia"/>
                <w:color w:val="auto"/>
                <w:szCs w:val="21"/>
              </w:rPr>
              <w:t>评标委员会构成：</w:t>
            </w:r>
            <w:r>
              <w:rPr>
                <w:rFonts w:hint="eastAsia"/>
                <w:color w:val="auto"/>
                <w:szCs w:val="21"/>
                <w:lang w:val="en-US" w:eastAsia="zh-CN"/>
              </w:rPr>
              <w:t>5</w:t>
            </w:r>
            <w:r>
              <w:rPr>
                <w:rFonts w:hint="eastAsia"/>
                <w:color w:val="auto"/>
                <w:szCs w:val="21"/>
              </w:rPr>
              <w:t>人</w:t>
            </w:r>
          </w:p>
          <w:p>
            <w:pPr>
              <w:spacing w:line="360" w:lineRule="exact"/>
              <w:rPr>
                <w:color w:val="auto"/>
                <w:szCs w:val="21"/>
              </w:rPr>
            </w:pPr>
            <w:r>
              <w:rPr>
                <w:rFonts w:hint="eastAsia"/>
                <w:color w:val="auto"/>
                <w:szCs w:val="21"/>
              </w:rPr>
              <w:t>评标专家确定方式：</w:t>
            </w:r>
            <w:r>
              <w:rPr>
                <w:rFonts w:hint="eastAsia"/>
                <w:color w:val="auto"/>
                <w:kern w:val="0"/>
                <w:szCs w:val="21"/>
                <w:lang w:bidi="ar"/>
              </w:rPr>
              <w:t>从</w:t>
            </w:r>
            <w:r>
              <w:rPr>
                <w:rFonts w:hint="eastAsia"/>
                <w:color w:val="auto"/>
                <w:kern w:val="0"/>
                <w:szCs w:val="21"/>
                <w:lang w:eastAsia="zh-CN" w:bidi="ar"/>
              </w:rPr>
              <w:t>湘煤立达矿山装备股份有限公司</w:t>
            </w:r>
            <w:r>
              <w:rPr>
                <w:rFonts w:hint="eastAsia"/>
                <w:color w:val="auto"/>
                <w:kern w:val="0"/>
                <w:szCs w:val="21"/>
                <w:lang w:bidi="ar"/>
              </w:rPr>
              <w:t>评标专家库中</w:t>
            </w:r>
            <w:r>
              <w:rPr>
                <w:rFonts w:hint="eastAsia"/>
                <w:color w:val="auto"/>
                <w:szCs w:val="21"/>
              </w:rPr>
              <w:t>随机抽取。</w:t>
            </w:r>
          </w:p>
        </w:tc>
      </w:tr>
      <w:tr>
        <w:tblPrEx>
          <w:tblCellMar>
            <w:top w:w="0" w:type="dxa"/>
            <w:left w:w="108" w:type="dxa"/>
            <w:bottom w:w="0" w:type="dxa"/>
            <w:right w:w="108" w:type="dxa"/>
          </w:tblCellMar>
        </w:tblPrEx>
        <w:trPr>
          <w:trHeight w:val="51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eastAsia="宋体"/>
                <w:color w:val="auto"/>
                <w:szCs w:val="21"/>
                <w:lang w:val="en-US" w:eastAsia="zh-CN"/>
              </w:rPr>
            </w:pPr>
            <w:r>
              <w:rPr>
                <w:rFonts w:hint="eastAsia"/>
                <w:color w:val="auto"/>
                <w:szCs w:val="21"/>
                <w:lang w:val="en-US" w:eastAsia="zh-CN"/>
              </w:rPr>
              <w:t>28</w:t>
            </w:r>
          </w:p>
        </w:tc>
        <w:tc>
          <w:tcPr>
            <w:tcW w:w="367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Cs w:val="21"/>
              </w:rPr>
            </w:pPr>
            <w:r>
              <w:rPr>
                <w:rFonts w:hint="eastAsia"/>
                <w:color w:val="auto"/>
                <w:szCs w:val="21"/>
              </w:rPr>
              <w:t>评标委员会推荐中标候选人的人数</w:t>
            </w:r>
          </w:p>
        </w:tc>
        <w:tc>
          <w:tcPr>
            <w:tcW w:w="4394" w:type="dxa"/>
            <w:tcBorders>
              <w:top w:val="single" w:color="auto" w:sz="4" w:space="0"/>
              <w:left w:val="single" w:color="auto" w:sz="4" w:space="0"/>
              <w:bottom w:val="single" w:color="auto" w:sz="4" w:space="0"/>
              <w:right w:val="single" w:color="auto" w:sz="4" w:space="0"/>
            </w:tcBorders>
            <w:vAlign w:val="center"/>
          </w:tcPr>
          <w:p>
            <w:pPr>
              <w:spacing w:line="360" w:lineRule="exact"/>
              <w:rPr>
                <w:color w:val="auto"/>
                <w:szCs w:val="21"/>
              </w:rPr>
            </w:pPr>
            <w:r>
              <w:rPr>
                <w:rFonts w:hint="eastAsia"/>
                <w:color w:val="auto"/>
                <w:highlight w:val="none"/>
                <w:u w:val="none"/>
                <w:lang w:val="en-US" w:eastAsia="zh-CN"/>
              </w:rPr>
              <w:t>推荐</w:t>
            </w:r>
            <w:r>
              <w:rPr>
                <w:color w:val="auto"/>
                <w:highlight w:val="none"/>
                <w:u w:val="none"/>
              </w:rPr>
              <w:t xml:space="preserve"> </w:t>
            </w:r>
            <w:r>
              <w:rPr>
                <w:rFonts w:hint="eastAsia"/>
                <w:color w:val="auto"/>
                <w:highlight w:val="none"/>
                <w:u w:val="none"/>
                <w:lang w:val="en-US" w:eastAsia="zh-CN"/>
              </w:rPr>
              <w:t>2个</w:t>
            </w:r>
            <w:r>
              <w:rPr>
                <w:rFonts w:hint="eastAsia"/>
                <w:color w:val="auto"/>
                <w:u w:val="none"/>
              </w:rPr>
              <w:t>投标人为中标候选人</w:t>
            </w:r>
            <w:r>
              <w:rPr>
                <w:rFonts w:hint="eastAsia"/>
                <w:color w:val="auto"/>
              </w:rPr>
              <w:t>。</w:t>
            </w:r>
          </w:p>
        </w:tc>
      </w:tr>
      <w:tr>
        <w:tblPrEx>
          <w:tblCellMar>
            <w:top w:w="0" w:type="dxa"/>
            <w:left w:w="108" w:type="dxa"/>
            <w:bottom w:w="0" w:type="dxa"/>
            <w:right w:w="108" w:type="dxa"/>
          </w:tblCellMar>
        </w:tblPrEx>
        <w:trPr>
          <w:trHeight w:val="922"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eastAsia="宋体"/>
                <w:color w:val="auto"/>
                <w:szCs w:val="21"/>
                <w:lang w:val="en-US" w:eastAsia="zh-CN"/>
              </w:rPr>
            </w:pPr>
            <w:r>
              <w:rPr>
                <w:rFonts w:hint="eastAsia"/>
                <w:color w:val="auto"/>
                <w:szCs w:val="21"/>
                <w:lang w:val="en-US" w:eastAsia="zh-CN"/>
              </w:rPr>
              <w:t>29</w:t>
            </w:r>
          </w:p>
        </w:tc>
        <w:tc>
          <w:tcPr>
            <w:tcW w:w="367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Cs w:val="21"/>
              </w:rPr>
            </w:pPr>
            <w:r>
              <w:rPr>
                <w:rFonts w:hint="eastAsia"/>
                <w:color w:val="auto"/>
                <w:szCs w:val="21"/>
              </w:rPr>
              <w:t>中标候选人公示媒介及期限</w:t>
            </w:r>
          </w:p>
        </w:tc>
        <w:tc>
          <w:tcPr>
            <w:tcW w:w="4394" w:type="dxa"/>
            <w:tcBorders>
              <w:top w:val="single" w:color="auto" w:sz="4" w:space="0"/>
              <w:left w:val="single" w:color="auto" w:sz="4" w:space="0"/>
              <w:bottom w:val="single" w:color="auto" w:sz="4" w:space="0"/>
              <w:right w:val="single" w:color="auto" w:sz="4" w:space="0"/>
            </w:tcBorders>
            <w:vAlign w:val="center"/>
          </w:tcPr>
          <w:p>
            <w:pPr>
              <w:pStyle w:val="12"/>
              <w:rPr>
                <w:color w:val="auto"/>
              </w:rPr>
            </w:pPr>
            <w:r>
              <w:rPr>
                <w:rFonts w:hint="eastAsia"/>
                <w:color w:val="auto"/>
                <w:szCs w:val="21"/>
              </w:rPr>
              <w:t>公示媒介：</w:t>
            </w:r>
            <w:r>
              <w:rPr>
                <w:rFonts w:hint="eastAsia"/>
                <w:color w:val="auto"/>
                <w:highlight w:val="none"/>
                <w:lang w:eastAsia="zh-CN"/>
              </w:rPr>
              <w:t>湘煤立达矿山装备股份有限公司官网（http://www.xmldks.com/）</w:t>
            </w:r>
          </w:p>
          <w:p>
            <w:pPr>
              <w:spacing w:line="360" w:lineRule="exact"/>
              <w:rPr>
                <w:color w:val="auto"/>
                <w:szCs w:val="21"/>
              </w:rPr>
            </w:pPr>
            <w:r>
              <w:rPr>
                <w:rFonts w:hint="eastAsia"/>
                <w:color w:val="auto"/>
                <w:szCs w:val="21"/>
              </w:rPr>
              <w:t>公示期限：</w:t>
            </w:r>
            <w:r>
              <w:rPr>
                <w:rFonts w:hint="eastAsia"/>
                <w:color w:val="auto"/>
              </w:rPr>
              <w:t>3</w:t>
            </w:r>
            <w:r>
              <w:rPr>
                <w:rFonts w:hint="eastAsia"/>
                <w:color w:val="auto"/>
                <w:szCs w:val="21"/>
              </w:rPr>
              <w:t>个工作日</w:t>
            </w:r>
          </w:p>
        </w:tc>
      </w:tr>
      <w:tr>
        <w:tblPrEx>
          <w:tblCellMar>
            <w:top w:w="0" w:type="dxa"/>
            <w:left w:w="108" w:type="dxa"/>
            <w:bottom w:w="0" w:type="dxa"/>
            <w:right w:w="108" w:type="dxa"/>
          </w:tblCellMar>
        </w:tblPrEx>
        <w:trPr>
          <w:trHeight w:val="51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eastAsia="宋体"/>
                <w:color w:val="auto"/>
                <w:szCs w:val="21"/>
                <w:lang w:val="en-US" w:eastAsia="zh-CN"/>
              </w:rPr>
            </w:pPr>
            <w:r>
              <w:rPr>
                <w:rFonts w:hint="eastAsia"/>
                <w:color w:val="auto"/>
                <w:szCs w:val="21"/>
                <w:lang w:val="en-US" w:eastAsia="zh-CN"/>
              </w:rPr>
              <w:t>30</w:t>
            </w:r>
          </w:p>
        </w:tc>
        <w:tc>
          <w:tcPr>
            <w:tcW w:w="367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Cs w:val="21"/>
              </w:rPr>
            </w:pPr>
            <w:r>
              <w:rPr>
                <w:rFonts w:hint="eastAsia"/>
                <w:color w:val="auto"/>
                <w:szCs w:val="21"/>
              </w:rPr>
              <w:t>是否授权评标委员会确定中标人</w:t>
            </w:r>
          </w:p>
        </w:tc>
        <w:tc>
          <w:tcPr>
            <w:tcW w:w="4394" w:type="dxa"/>
            <w:tcBorders>
              <w:top w:val="single" w:color="auto" w:sz="4" w:space="0"/>
              <w:left w:val="single" w:color="auto" w:sz="4" w:space="0"/>
              <w:bottom w:val="single" w:color="auto" w:sz="4" w:space="0"/>
              <w:right w:val="single" w:color="auto" w:sz="4" w:space="0"/>
            </w:tcBorders>
            <w:vAlign w:val="center"/>
          </w:tcPr>
          <w:p>
            <w:pPr>
              <w:spacing w:line="360" w:lineRule="exact"/>
              <w:rPr>
                <w:color w:val="auto"/>
                <w:szCs w:val="21"/>
              </w:rPr>
            </w:pPr>
            <w:r>
              <w:rPr>
                <w:rFonts w:hint="eastAsia"/>
                <w:color w:val="auto"/>
                <w:szCs w:val="21"/>
              </w:rPr>
              <w:t>□是</w:t>
            </w:r>
          </w:p>
          <w:p>
            <w:pPr>
              <w:spacing w:line="360" w:lineRule="exact"/>
              <w:rPr>
                <w:color w:val="auto"/>
                <w:szCs w:val="21"/>
              </w:rPr>
            </w:pPr>
            <w:r>
              <w:rPr>
                <w:rFonts w:hint="eastAsia"/>
                <w:color w:val="auto"/>
                <w:szCs w:val="21"/>
              </w:rPr>
              <w:t>☑否</w:t>
            </w:r>
          </w:p>
        </w:tc>
      </w:tr>
      <w:tr>
        <w:tblPrEx>
          <w:tblCellMar>
            <w:top w:w="0" w:type="dxa"/>
            <w:left w:w="108" w:type="dxa"/>
            <w:bottom w:w="0" w:type="dxa"/>
            <w:right w:w="108" w:type="dxa"/>
          </w:tblCellMar>
        </w:tblPrEx>
        <w:trPr>
          <w:trHeight w:val="51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ind w:left="9" w:leftChars="0" w:hanging="9" w:firstLineChars="0"/>
              <w:jc w:val="center"/>
              <w:rPr>
                <w:rFonts w:hint="default" w:eastAsia="宋体"/>
                <w:b w:val="0"/>
                <w:bCs/>
                <w:color w:val="auto"/>
                <w:szCs w:val="21"/>
                <w:lang w:val="en-US" w:eastAsia="zh-CN"/>
              </w:rPr>
            </w:pPr>
            <w:r>
              <w:rPr>
                <w:rFonts w:hint="eastAsia"/>
                <w:b w:val="0"/>
                <w:bCs/>
                <w:color w:val="auto"/>
                <w:szCs w:val="21"/>
                <w:lang w:val="en-US" w:eastAsia="zh-CN"/>
              </w:rPr>
              <w:t>31</w:t>
            </w:r>
          </w:p>
        </w:tc>
        <w:tc>
          <w:tcPr>
            <w:tcW w:w="3678" w:type="dxa"/>
            <w:tcBorders>
              <w:top w:val="single" w:color="auto" w:sz="4" w:space="0"/>
              <w:left w:val="single" w:color="auto" w:sz="4" w:space="0"/>
              <w:bottom w:val="single" w:color="auto" w:sz="4" w:space="0"/>
              <w:right w:val="single" w:color="auto" w:sz="4" w:space="0"/>
            </w:tcBorders>
            <w:vAlign w:val="center"/>
          </w:tcPr>
          <w:p>
            <w:pPr>
              <w:spacing w:line="360" w:lineRule="exact"/>
              <w:ind w:left="9" w:leftChars="0" w:firstLine="840" w:firstLineChars="400"/>
              <w:rPr>
                <w:b w:val="0"/>
                <w:bCs/>
                <w:color w:val="auto"/>
              </w:rPr>
            </w:pPr>
            <w:r>
              <w:rPr>
                <w:rFonts w:hint="eastAsia"/>
                <w:b w:val="0"/>
                <w:bCs/>
                <w:color w:val="auto"/>
              </w:rPr>
              <w:t>需要补充的其他内容</w:t>
            </w:r>
          </w:p>
        </w:tc>
        <w:tc>
          <w:tcPr>
            <w:tcW w:w="4394"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exact"/>
              <w:ind w:left="0" w:leftChars="0" w:firstLine="0" w:firstLineChars="0"/>
              <w:rPr>
                <w:color w:val="auto"/>
                <w:highlight w:val="white"/>
              </w:rPr>
            </w:pPr>
            <w:r>
              <w:rPr>
                <w:rFonts w:hint="eastAsia"/>
                <w:color w:val="auto"/>
                <w:szCs w:val="21"/>
                <w:highlight w:val="white"/>
              </w:rPr>
              <w:t>本项目第一次</w:t>
            </w:r>
            <w:r>
              <w:rPr>
                <w:rFonts w:hint="eastAsia"/>
                <w:color w:val="auto"/>
                <w:szCs w:val="21"/>
                <w:highlight w:val="white"/>
                <w:lang w:eastAsia="zh-CN"/>
              </w:rPr>
              <w:t>招议标</w:t>
            </w:r>
            <w:r>
              <w:rPr>
                <w:rFonts w:hint="eastAsia"/>
                <w:color w:val="auto"/>
                <w:szCs w:val="21"/>
                <w:highlight w:val="white"/>
              </w:rPr>
              <w:t>流标后，由</w:t>
            </w:r>
            <w:r>
              <w:rPr>
                <w:rFonts w:hint="eastAsia"/>
                <w:color w:val="auto"/>
                <w:szCs w:val="21"/>
                <w:highlight w:val="white"/>
                <w:lang w:eastAsia="zh-CN"/>
              </w:rPr>
              <w:t>招议标</w:t>
            </w:r>
            <w:r>
              <w:rPr>
                <w:rFonts w:hint="eastAsia"/>
                <w:color w:val="auto"/>
                <w:szCs w:val="21"/>
                <w:highlight w:val="white"/>
              </w:rPr>
              <w:t>人重新组织</w:t>
            </w:r>
            <w:r>
              <w:rPr>
                <w:rFonts w:hint="eastAsia"/>
                <w:color w:val="auto"/>
                <w:szCs w:val="21"/>
                <w:highlight w:val="white"/>
                <w:lang w:eastAsia="zh-CN"/>
              </w:rPr>
              <w:t>招议标</w:t>
            </w:r>
            <w:r>
              <w:rPr>
                <w:rFonts w:hint="eastAsia"/>
                <w:color w:val="auto"/>
                <w:szCs w:val="21"/>
                <w:highlight w:val="white"/>
              </w:rPr>
              <w:t>。重新</w:t>
            </w:r>
            <w:r>
              <w:rPr>
                <w:rFonts w:hint="eastAsia"/>
                <w:color w:val="auto"/>
                <w:szCs w:val="21"/>
                <w:highlight w:val="white"/>
                <w:lang w:eastAsia="zh-CN"/>
              </w:rPr>
              <w:t>招议标</w:t>
            </w:r>
            <w:r>
              <w:rPr>
                <w:rFonts w:hint="eastAsia"/>
                <w:color w:val="auto"/>
                <w:szCs w:val="21"/>
                <w:highlight w:val="white"/>
              </w:rPr>
              <w:t>后仍然流标的，报</w:t>
            </w:r>
            <w:r>
              <w:rPr>
                <w:rFonts w:hint="eastAsia"/>
                <w:color w:val="auto"/>
                <w:szCs w:val="21"/>
                <w:highlight w:val="white"/>
                <w:lang w:eastAsia="zh-CN"/>
              </w:rPr>
              <w:t>招议标</w:t>
            </w:r>
            <w:r>
              <w:rPr>
                <w:rFonts w:hint="eastAsia"/>
                <w:color w:val="auto"/>
                <w:szCs w:val="21"/>
                <w:highlight w:val="white"/>
              </w:rPr>
              <w:t>人审批后谈判确定中标候选人。</w:t>
            </w:r>
          </w:p>
        </w:tc>
      </w:tr>
    </w:tbl>
    <w:p>
      <w:pPr>
        <w:pStyle w:val="7"/>
        <w:ind w:left="132"/>
        <w:rPr>
          <w:color w:val="auto"/>
        </w:rPr>
      </w:pPr>
    </w:p>
    <w:p>
      <w:pPr>
        <w:pStyle w:val="4"/>
        <w:ind w:left="0" w:right="0" w:firstLine="0"/>
        <w:rPr>
          <w:color w:val="auto"/>
        </w:rPr>
      </w:pPr>
      <w:bookmarkStart w:id="35" w:name="_Toc27390"/>
      <w:r>
        <w:rPr>
          <w:color w:val="auto"/>
        </w:rPr>
        <w:t>1. 总则</w:t>
      </w:r>
      <w:bookmarkEnd w:id="35"/>
    </w:p>
    <w:p>
      <w:pPr>
        <w:pStyle w:val="7"/>
        <w:ind w:left="132"/>
        <w:rPr>
          <w:color w:val="auto"/>
        </w:rPr>
      </w:pPr>
      <w:r>
        <w:rPr>
          <w:color w:val="auto"/>
        </w:rPr>
        <w:t xml:space="preserve">1.1 </w:t>
      </w:r>
      <w:r>
        <w:rPr>
          <w:rFonts w:hint="eastAsia"/>
          <w:color w:val="auto"/>
          <w:lang w:eastAsia="zh-CN"/>
        </w:rPr>
        <w:t>招议标</w:t>
      </w:r>
      <w:r>
        <w:rPr>
          <w:color w:val="auto"/>
        </w:rPr>
        <w:t>项目概况</w:t>
      </w:r>
    </w:p>
    <w:p>
      <w:pPr>
        <w:spacing w:line="405" w:lineRule="auto"/>
        <w:ind w:left="-15" w:firstLine="420"/>
        <w:rPr>
          <w:color w:val="auto"/>
        </w:rPr>
      </w:pPr>
      <w:r>
        <w:rPr>
          <w:color w:val="auto"/>
        </w:rPr>
        <w:t>1.1.1参照《中华人民共和国</w:t>
      </w:r>
      <w:r>
        <w:rPr>
          <w:rFonts w:hint="eastAsia"/>
          <w:color w:val="auto"/>
        </w:rPr>
        <w:t>招标</w:t>
      </w:r>
      <w:r>
        <w:rPr>
          <w:color w:val="auto"/>
        </w:rPr>
        <w:t>投标法》《中华人民共和国</w:t>
      </w:r>
      <w:r>
        <w:rPr>
          <w:rFonts w:hint="eastAsia"/>
          <w:color w:val="auto"/>
        </w:rPr>
        <w:t>招标</w:t>
      </w:r>
      <w:r>
        <w:rPr>
          <w:color w:val="auto"/>
        </w:rPr>
        <w:t>投标法实施条例》等有关法律、法规和规章的规定，本</w:t>
      </w:r>
      <w:r>
        <w:rPr>
          <w:rFonts w:hint="eastAsia"/>
          <w:color w:val="auto"/>
          <w:lang w:eastAsia="zh-CN"/>
        </w:rPr>
        <w:t>招议标</w:t>
      </w:r>
      <w:r>
        <w:rPr>
          <w:color w:val="auto"/>
        </w:rPr>
        <w:t>项目已具备</w:t>
      </w:r>
      <w:r>
        <w:rPr>
          <w:rFonts w:hint="eastAsia"/>
          <w:color w:val="auto"/>
          <w:lang w:eastAsia="zh-CN"/>
        </w:rPr>
        <w:t>招议标</w:t>
      </w:r>
      <w:r>
        <w:rPr>
          <w:color w:val="auto"/>
        </w:rPr>
        <w:t>条件，现对</w:t>
      </w:r>
      <w:r>
        <w:rPr>
          <w:rFonts w:hint="eastAsia"/>
          <w:color w:val="auto"/>
        </w:rPr>
        <w:t>其</w:t>
      </w:r>
      <w:r>
        <w:rPr>
          <w:color w:val="auto"/>
        </w:rPr>
        <w:t>进行</w:t>
      </w:r>
      <w:r>
        <w:rPr>
          <w:rFonts w:hint="eastAsia"/>
          <w:color w:val="auto"/>
          <w:lang w:eastAsia="zh-CN"/>
        </w:rPr>
        <w:t>招议标</w:t>
      </w:r>
      <w:r>
        <w:rPr>
          <w:color w:val="auto"/>
        </w:rPr>
        <w:t>。</w:t>
      </w:r>
    </w:p>
    <w:p>
      <w:pPr>
        <w:spacing w:after="158"/>
        <w:ind w:left="429"/>
        <w:rPr>
          <w:color w:val="auto"/>
        </w:rPr>
      </w:pPr>
      <w:r>
        <w:rPr>
          <w:color w:val="auto"/>
        </w:rPr>
        <w:t>1.1.2</w:t>
      </w:r>
      <w:r>
        <w:rPr>
          <w:rFonts w:hint="eastAsia"/>
          <w:color w:val="auto"/>
          <w:lang w:eastAsia="zh-CN"/>
        </w:rPr>
        <w:t>招议标</w:t>
      </w:r>
      <w:r>
        <w:rPr>
          <w:color w:val="auto"/>
        </w:rPr>
        <w:t>人：见投标人须知前附表。</w:t>
      </w:r>
    </w:p>
    <w:p>
      <w:pPr>
        <w:spacing w:after="158"/>
        <w:ind w:left="429"/>
        <w:rPr>
          <w:color w:val="auto"/>
        </w:rPr>
      </w:pPr>
      <w:r>
        <w:rPr>
          <w:color w:val="auto"/>
        </w:rPr>
        <w:t>1.1.</w:t>
      </w:r>
      <w:r>
        <w:rPr>
          <w:rFonts w:hint="eastAsia"/>
          <w:color w:val="auto"/>
          <w:lang w:val="en-US" w:eastAsia="zh-CN"/>
        </w:rPr>
        <w:t>3</w:t>
      </w:r>
      <w:r>
        <w:rPr>
          <w:rFonts w:hint="eastAsia"/>
          <w:color w:val="auto"/>
          <w:lang w:eastAsia="zh-CN"/>
        </w:rPr>
        <w:t>招议标</w:t>
      </w:r>
      <w:r>
        <w:rPr>
          <w:color w:val="auto"/>
        </w:rPr>
        <w:t>项目名称：见投标人须知前附表。</w:t>
      </w:r>
    </w:p>
    <w:p>
      <w:pPr>
        <w:pStyle w:val="4"/>
        <w:spacing w:after="0" w:line="520" w:lineRule="exact"/>
        <w:ind w:left="0" w:leftChars="0" w:right="0" w:firstLine="0" w:firstLineChars="0"/>
        <w:rPr>
          <w:b/>
          <w:bCs/>
          <w:color w:val="auto"/>
        </w:rPr>
      </w:pPr>
    </w:p>
    <w:p>
      <w:pPr>
        <w:pStyle w:val="8"/>
        <w:spacing w:after="297"/>
        <w:ind w:left="132"/>
        <w:rPr>
          <w:color w:val="auto"/>
        </w:rPr>
      </w:pPr>
      <w:r>
        <w:rPr>
          <w:color w:val="auto"/>
        </w:rPr>
        <w:t>1.</w:t>
      </w:r>
      <w:r>
        <w:rPr>
          <w:rFonts w:hint="eastAsia"/>
          <w:color w:val="auto"/>
          <w:lang w:val="en-US" w:eastAsia="zh-CN"/>
        </w:rPr>
        <w:t>2</w:t>
      </w:r>
      <w:r>
        <w:rPr>
          <w:rFonts w:hint="eastAsia"/>
          <w:color w:val="auto"/>
          <w:lang w:eastAsia="zh-CN"/>
        </w:rPr>
        <w:t>招议标</w:t>
      </w:r>
      <w:r>
        <w:rPr>
          <w:color w:val="auto"/>
        </w:rPr>
        <w:t>范围</w:t>
      </w:r>
      <w:r>
        <w:rPr>
          <w:rFonts w:hint="eastAsia"/>
          <w:color w:val="auto"/>
          <w:lang w:eastAsia="zh-CN"/>
        </w:rPr>
        <w:t>：</w:t>
      </w:r>
      <w:r>
        <w:rPr>
          <w:rFonts w:hint="eastAsia" w:ascii="宋体" w:hAnsi="宋体" w:eastAsia="宋体" w:cs="宋体"/>
          <w:color w:val="auto"/>
          <w:sz w:val="21"/>
          <w:szCs w:val="21"/>
        </w:rPr>
        <w:t>见投标人须知前附表。</w:t>
      </w:r>
    </w:p>
    <w:p>
      <w:pPr>
        <w:pStyle w:val="8"/>
        <w:spacing w:after="296"/>
        <w:ind w:left="132"/>
        <w:rPr>
          <w:color w:val="auto"/>
        </w:rPr>
      </w:pPr>
      <w:r>
        <w:rPr>
          <w:color w:val="auto"/>
        </w:rPr>
        <w:t>1.</w:t>
      </w:r>
      <w:r>
        <w:rPr>
          <w:rFonts w:hint="eastAsia"/>
          <w:color w:val="auto"/>
          <w:lang w:val="en-US" w:eastAsia="zh-CN"/>
        </w:rPr>
        <w:t>3</w:t>
      </w:r>
      <w:r>
        <w:rPr>
          <w:color w:val="auto"/>
        </w:rPr>
        <w:t>投标人资格要求</w:t>
      </w:r>
    </w:p>
    <w:p>
      <w:pPr>
        <w:spacing w:after="155"/>
        <w:ind w:left="429"/>
        <w:rPr>
          <w:color w:val="auto"/>
        </w:rPr>
      </w:pPr>
      <w:r>
        <w:rPr>
          <w:color w:val="auto"/>
        </w:rPr>
        <w:t>1.</w:t>
      </w:r>
      <w:r>
        <w:rPr>
          <w:rFonts w:hint="eastAsia"/>
          <w:color w:val="auto"/>
          <w:lang w:val="en-US" w:eastAsia="zh-CN"/>
        </w:rPr>
        <w:t>3</w:t>
      </w:r>
      <w:r>
        <w:rPr>
          <w:color w:val="auto"/>
        </w:rPr>
        <w:t>.1投标人应具备承担本</w:t>
      </w:r>
      <w:r>
        <w:rPr>
          <w:rFonts w:hint="eastAsia"/>
          <w:color w:val="auto"/>
          <w:lang w:eastAsia="zh-CN"/>
        </w:rPr>
        <w:t>招议标</w:t>
      </w:r>
      <w:r>
        <w:rPr>
          <w:color w:val="auto"/>
        </w:rPr>
        <w:t>项目的资质条件、能力和信誉：见投标人须知前附表；</w:t>
      </w:r>
    </w:p>
    <w:p>
      <w:pPr>
        <w:spacing w:line="407" w:lineRule="auto"/>
        <w:ind w:left="-15" w:firstLine="420"/>
        <w:rPr>
          <w:color w:val="auto"/>
        </w:rPr>
      </w:pPr>
      <w:r>
        <w:rPr>
          <w:color w:val="auto"/>
        </w:rPr>
        <w:t>1.</w:t>
      </w:r>
      <w:r>
        <w:rPr>
          <w:rFonts w:hint="eastAsia"/>
          <w:color w:val="auto"/>
          <w:lang w:val="en-US" w:eastAsia="zh-CN"/>
        </w:rPr>
        <w:t>3</w:t>
      </w:r>
      <w:r>
        <w:rPr>
          <w:color w:val="auto"/>
        </w:rPr>
        <w:t>.2投标人须知前附表规定接受联合体投标的，应遵守以下规定：</w:t>
      </w:r>
    </w:p>
    <w:p>
      <w:pPr>
        <w:numPr>
          <w:ilvl w:val="0"/>
          <w:numId w:val="2"/>
        </w:numPr>
        <w:spacing w:line="407" w:lineRule="auto"/>
        <w:ind w:firstLine="314"/>
        <w:rPr>
          <w:color w:val="auto"/>
        </w:rPr>
      </w:pPr>
      <w:r>
        <w:rPr>
          <w:color w:val="auto"/>
        </w:rPr>
        <w:t>联合体各方应按</w:t>
      </w:r>
      <w:r>
        <w:rPr>
          <w:rFonts w:hint="eastAsia"/>
          <w:color w:val="auto"/>
          <w:lang w:eastAsia="zh-CN"/>
        </w:rPr>
        <w:t>招议标</w:t>
      </w:r>
      <w:r>
        <w:rPr>
          <w:color w:val="auto"/>
        </w:rPr>
        <w:t>文件提供的格式签订联合体协议书，明确联合体牵头人和各方权利义务，并承诺就中标项目向</w:t>
      </w:r>
      <w:r>
        <w:rPr>
          <w:rFonts w:hint="eastAsia"/>
          <w:color w:val="auto"/>
          <w:lang w:eastAsia="zh-CN"/>
        </w:rPr>
        <w:t>招议标</w:t>
      </w:r>
      <w:r>
        <w:rPr>
          <w:color w:val="auto"/>
        </w:rPr>
        <w:t>人承担连带责任；</w:t>
      </w:r>
    </w:p>
    <w:p>
      <w:pPr>
        <w:numPr>
          <w:ilvl w:val="0"/>
          <w:numId w:val="2"/>
        </w:numPr>
        <w:spacing w:after="155"/>
        <w:ind w:firstLine="314"/>
        <w:rPr>
          <w:color w:val="auto"/>
        </w:rPr>
      </w:pPr>
      <w:r>
        <w:rPr>
          <w:color w:val="auto"/>
        </w:rPr>
        <w:t>由同一专业的单位组成的联合体，按照资质等级较低的单位确定资质等级；</w:t>
      </w:r>
    </w:p>
    <w:p>
      <w:pPr>
        <w:numPr>
          <w:ilvl w:val="0"/>
          <w:numId w:val="2"/>
        </w:numPr>
        <w:spacing w:line="407" w:lineRule="auto"/>
        <w:ind w:firstLine="314"/>
        <w:rPr>
          <w:color w:val="auto"/>
        </w:rPr>
      </w:pPr>
      <w:r>
        <w:rPr>
          <w:color w:val="auto"/>
        </w:rPr>
        <w:t>联合体各方不得再以自己名义单独或参加其他联合体在本</w:t>
      </w:r>
      <w:r>
        <w:rPr>
          <w:rFonts w:hint="eastAsia"/>
          <w:color w:val="auto"/>
          <w:lang w:eastAsia="zh-CN"/>
        </w:rPr>
        <w:t>招议标</w:t>
      </w:r>
      <w:r>
        <w:rPr>
          <w:color w:val="auto"/>
        </w:rPr>
        <w:t>项目中投标，否则各相关投标均无效。</w:t>
      </w:r>
    </w:p>
    <w:p>
      <w:pPr>
        <w:spacing w:after="155"/>
        <w:ind w:left="429"/>
        <w:rPr>
          <w:color w:val="auto"/>
        </w:rPr>
      </w:pPr>
      <w:r>
        <w:rPr>
          <w:color w:val="auto"/>
        </w:rPr>
        <w:t>1.</w:t>
      </w:r>
      <w:r>
        <w:rPr>
          <w:rFonts w:hint="eastAsia"/>
          <w:color w:val="auto"/>
          <w:lang w:val="en-US" w:eastAsia="zh-CN"/>
        </w:rPr>
        <w:t>3</w:t>
      </w:r>
      <w:r>
        <w:rPr>
          <w:color w:val="auto"/>
        </w:rPr>
        <w:t>.3投标人不得存在下列情形之一：</w:t>
      </w:r>
    </w:p>
    <w:p>
      <w:pPr>
        <w:numPr>
          <w:ilvl w:val="0"/>
          <w:numId w:val="3"/>
        </w:numPr>
        <w:spacing w:after="158"/>
        <w:ind w:firstLine="420"/>
        <w:rPr>
          <w:color w:val="auto"/>
        </w:rPr>
      </w:pPr>
      <w:r>
        <w:rPr>
          <w:color w:val="auto"/>
        </w:rPr>
        <w:t>与</w:t>
      </w:r>
      <w:r>
        <w:rPr>
          <w:rFonts w:hint="eastAsia"/>
          <w:color w:val="auto"/>
          <w:lang w:eastAsia="zh-CN"/>
        </w:rPr>
        <w:t>招议标</w:t>
      </w:r>
      <w:r>
        <w:rPr>
          <w:color w:val="auto"/>
        </w:rPr>
        <w:t>人存在利害关系且可能影响</w:t>
      </w:r>
      <w:r>
        <w:rPr>
          <w:rFonts w:hint="eastAsia"/>
          <w:color w:val="auto"/>
          <w:lang w:eastAsia="zh-CN"/>
        </w:rPr>
        <w:t>招议标</w:t>
      </w:r>
      <w:r>
        <w:rPr>
          <w:color w:val="auto"/>
        </w:rPr>
        <w:t>公正性；</w:t>
      </w:r>
    </w:p>
    <w:p>
      <w:pPr>
        <w:numPr>
          <w:ilvl w:val="0"/>
          <w:numId w:val="3"/>
        </w:numPr>
        <w:spacing w:after="158"/>
        <w:ind w:firstLine="420"/>
        <w:rPr>
          <w:color w:val="auto"/>
        </w:rPr>
      </w:pPr>
      <w:r>
        <w:rPr>
          <w:color w:val="auto"/>
        </w:rPr>
        <w:t>与本</w:t>
      </w:r>
      <w:r>
        <w:rPr>
          <w:rFonts w:hint="eastAsia"/>
          <w:color w:val="auto"/>
          <w:lang w:eastAsia="zh-CN"/>
        </w:rPr>
        <w:t>招议标</w:t>
      </w:r>
      <w:r>
        <w:rPr>
          <w:color w:val="auto"/>
        </w:rPr>
        <w:t>项目的其他投标人为同一个单位负责人；</w:t>
      </w:r>
    </w:p>
    <w:p>
      <w:pPr>
        <w:numPr>
          <w:ilvl w:val="0"/>
          <w:numId w:val="3"/>
        </w:numPr>
        <w:spacing w:after="155"/>
        <w:ind w:firstLine="420"/>
        <w:rPr>
          <w:color w:val="auto"/>
        </w:rPr>
      </w:pPr>
      <w:r>
        <w:rPr>
          <w:color w:val="auto"/>
        </w:rPr>
        <w:t>与本</w:t>
      </w:r>
      <w:r>
        <w:rPr>
          <w:rFonts w:hint="eastAsia"/>
          <w:color w:val="auto"/>
          <w:lang w:eastAsia="zh-CN"/>
        </w:rPr>
        <w:t>招议标</w:t>
      </w:r>
      <w:r>
        <w:rPr>
          <w:color w:val="auto"/>
        </w:rPr>
        <w:t>项目的其他投标人存在控股、管理关系；</w:t>
      </w:r>
    </w:p>
    <w:p>
      <w:pPr>
        <w:numPr>
          <w:ilvl w:val="0"/>
          <w:numId w:val="3"/>
        </w:numPr>
        <w:spacing w:after="155"/>
        <w:ind w:firstLine="420"/>
        <w:rPr>
          <w:color w:val="auto"/>
        </w:rPr>
      </w:pPr>
      <w:r>
        <w:rPr>
          <w:color w:val="auto"/>
        </w:rPr>
        <w:t>被依法暂停或者取消投标资格；</w:t>
      </w:r>
    </w:p>
    <w:p>
      <w:pPr>
        <w:numPr>
          <w:ilvl w:val="0"/>
          <w:numId w:val="3"/>
        </w:numPr>
        <w:spacing w:after="158"/>
        <w:ind w:firstLine="420"/>
        <w:rPr>
          <w:color w:val="auto"/>
        </w:rPr>
      </w:pPr>
      <w:r>
        <w:rPr>
          <w:color w:val="auto"/>
        </w:rPr>
        <w:t>被责令停产停业，暂扣或者吊销许可证，暂扣或者吊销执照；</w:t>
      </w:r>
    </w:p>
    <w:p>
      <w:pPr>
        <w:numPr>
          <w:ilvl w:val="0"/>
          <w:numId w:val="3"/>
        </w:numPr>
        <w:spacing w:after="158"/>
        <w:ind w:firstLine="420"/>
        <w:rPr>
          <w:color w:val="auto"/>
        </w:rPr>
      </w:pPr>
      <w:r>
        <w:rPr>
          <w:color w:val="auto"/>
        </w:rPr>
        <w:t>进入清算程序，或被宣告破产，或其他丧失履约能力的情形；</w:t>
      </w:r>
    </w:p>
    <w:p>
      <w:pPr>
        <w:numPr>
          <w:ilvl w:val="0"/>
          <w:numId w:val="3"/>
        </w:numPr>
        <w:spacing w:after="158"/>
        <w:ind w:firstLine="420"/>
        <w:rPr>
          <w:color w:val="auto"/>
        </w:rPr>
      </w:pPr>
      <w:r>
        <w:rPr>
          <w:color w:val="auto"/>
        </w:rPr>
        <w:t>法律法规或投标人须知前附表规定的其他情形。</w:t>
      </w:r>
    </w:p>
    <w:p>
      <w:pPr>
        <w:spacing w:after="398"/>
        <w:ind w:left="429"/>
        <w:rPr>
          <w:color w:val="auto"/>
        </w:rPr>
      </w:pPr>
      <w:r>
        <w:rPr>
          <w:color w:val="auto"/>
        </w:rPr>
        <w:t>投标人存在上述情形之一的，其投标应当被否决。</w:t>
      </w:r>
    </w:p>
    <w:p>
      <w:pPr>
        <w:pStyle w:val="7"/>
        <w:ind w:left="132"/>
        <w:rPr>
          <w:color w:val="auto"/>
        </w:rPr>
      </w:pPr>
      <w:r>
        <w:rPr>
          <w:color w:val="auto"/>
        </w:rPr>
        <w:t>1.</w:t>
      </w:r>
      <w:r>
        <w:rPr>
          <w:rFonts w:hint="eastAsia"/>
          <w:color w:val="auto"/>
          <w:lang w:val="en-US" w:eastAsia="zh-CN"/>
        </w:rPr>
        <w:t>4</w:t>
      </w:r>
      <w:r>
        <w:rPr>
          <w:color w:val="auto"/>
        </w:rPr>
        <w:t xml:space="preserve"> 费用承担</w:t>
      </w:r>
      <w:r>
        <w:rPr>
          <w:rFonts w:hint="eastAsia"/>
          <w:color w:val="auto"/>
          <w:lang w:eastAsia="zh-CN"/>
        </w:rPr>
        <w:t>：</w:t>
      </w:r>
      <w:r>
        <w:rPr>
          <w:rFonts w:hint="eastAsia" w:ascii="宋体" w:hAnsi="宋体" w:eastAsia="宋体" w:cs="宋体"/>
          <w:color w:val="auto"/>
          <w:sz w:val="21"/>
          <w:szCs w:val="21"/>
        </w:rPr>
        <w:t>投标人准备和参加投标活动发生的费用自理。</w:t>
      </w:r>
    </w:p>
    <w:p>
      <w:pPr>
        <w:pStyle w:val="8"/>
        <w:spacing w:after="297"/>
        <w:ind w:left="132"/>
        <w:rPr>
          <w:color w:val="auto"/>
        </w:rPr>
      </w:pPr>
      <w:r>
        <w:rPr>
          <w:color w:val="auto"/>
        </w:rPr>
        <w:t>1.</w:t>
      </w:r>
      <w:r>
        <w:rPr>
          <w:rFonts w:hint="eastAsia"/>
          <w:color w:val="auto"/>
          <w:lang w:val="en-US" w:eastAsia="zh-CN"/>
        </w:rPr>
        <w:t>5</w:t>
      </w:r>
      <w:r>
        <w:rPr>
          <w:color w:val="auto"/>
        </w:rPr>
        <w:t>保密</w:t>
      </w:r>
      <w:r>
        <w:rPr>
          <w:rFonts w:hint="eastAsia"/>
          <w:color w:val="auto"/>
          <w:lang w:eastAsia="zh-CN"/>
        </w:rPr>
        <w:t>：</w:t>
      </w:r>
      <w:r>
        <w:rPr>
          <w:rFonts w:hint="eastAsia" w:ascii="宋体" w:hAnsi="宋体" w:eastAsia="宋体" w:cs="宋体"/>
          <w:color w:val="auto"/>
          <w:sz w:val="21"/>
          <w:szCs w:val="21"/>
        </w:rPr>
        <w:t>参与</w:t>
      </w:r>
      <w:r>
        <w:rPr>
          <w:rFonts w:hint="eastAsia" w:ascii="宋体" w:hAnsi="宋体" w:eastAsia="宋体" w:cs="宋体"/>
          <w:color w:val="auto"/>
          <w:sz w:val="21"/>
          <w:szCs w:val="21"/>
          <w:lang w:eastAsia="zh-CN"/>
        </w:rPr>
        <w:t>招议标</w:t>
      </w:r>
      <w:r>
        <w:rPr>
          <w:rFonts w:hint="eastAsia" w:ascii="宋体" w:hAnsi="宋体" w:eastAsia="宋体" w:cs="宋体"/>
          <w:color w:val="auto"/>
          <w:sz w:val="21"/>
          <w:szCs w:val="21"/>
        </w:rPr>
        <w:t>投标活动的各方应对</w:t>
      </w:r>
      <w:r>
        <w:rPr>
          <w:rFonts w:hint="eastAsia" w:ascii="宋体" w:hAnsi="宋体" w:eastAsia="宋体" w:cs="宋体"/>
          <w:color w:val="auto"/>
          <w:sz w:val="21"/>
          <w:szCs w:val="21"/>
          <w:lang w:eastAsia="zh-CN"/>
        </w:rPr>
        <w:t>招议标</w:t>
      </w:r>
      <w:r>
        <w:rPr>
          <w:rFonts w:hint="eastAsia" w:ascii="宋体" w:hAnsi="宋体" w:eastAsia="宋体" w:cs="宋体"/>
          <w:color w:val="auto"/>
          <w:sz w:val="21"/>
          <w:szCs w:val="21"/>
        </w:rPr>
        <w:t>文件和投标文件中的商业秘密保密，否则应承担相应的法律责任。</w:t>
      </w:r>
    </w:p>
    <w:p>
      <w:pPr>
        <w:spacing w:after="297" w:line="265" w:lineRule="auto"/>
        <w:ind w:left="132" w:hanging="10"/>
        <w:rPr>
          <w:color w:val="auto"/>
        </w:rPr>
      </w:pPr>
      <w:r>
        <w:rPr>
          <w:rFonts w:ascii="黑体" w:hAnsi="黑体" w:eastAsia="黑体" w:cs="黑体"/>
          <w:color w:val="auto"/>
          <w:sz w:val="28"/>
        </w:rPr>
        <w:t>1.</w:t>
      </w:r>
      <w:r>
        <w:rPr>
          <w:rFonts w:hint="eastAsia" w:ascii="黑体" w:hAnsi="黑体" w:eastAsia="黑体" w:cs="黑体"/>
          <w:color w:val="auto"/>
          <w:sz w:val="28"/>
          <w:lang w:val="en-US" w:eastAsia="zh-CN"/>
        </w:rPr>
        <w:t>6</w:t>
      </w:r>
      <w:r>
        <w:rPr>
          <w:rFonts w:ascii="黑体" w:hAnsi="黑体" w:eastAsia="黑体" w:cs="黑体"/>
          <w:color w:val="auto"/>
          <w:sz w:val="28"/>
        </w:rPr>
        <w:t>语言文字</w:t>
      </w:r>
      <w:r>
        <w:rPr>
          <w:rFonts w:hint="eastAsia" w:ascii="黑体" w:hAnsi="黑体" w:eastAsia="黑体" w:cs="黑体"/>
          <w:color w:val="auto"/>
          <w:sz w:val="28"/>
          <w:lang w:eastAsia="zh-CN"/>
        </w:rPr>
        <w:t>：</w:t>
      </w:r>
      <w:r>
        <w:rPr>
          <w:rFonts w:hint="eastAsia"/>
          <w:color w:val="auto"/>
          <w:lang w:eastAsia="zh-CN"/>
        </w:rPr>
        <w:t>招议标</w:t>
      </w:r>
      <w:r>
        <w:rPr>
          <w:color w:val="auto"/>
        </w:rPr>
        <w:t>投标文件使用的语言文字为中文。专用术语使用外文的，应附有中文注释。</w:t>
      </w:r>
    </w:p>
    <w:p>
      <w:pPr>
        <w:spacing w:after="296" w:line="265" w:lineRule="auto"/>
        <w:ind w:left="132" w:hanging="10"/>
        <w:rPr>
          <w:color w:val="auto"/>
        </w:rPr>
      </w:pPr>
      <w:r>
        <w:rPr>
          <w:rFonts w:ascii="黑体" w:hAnsi="黑体" w:eastAsia="黑体" w:cs="黑体"/>
          <w:color w:val="auto"/>
          <w:sz w:val="28"/>
        </w:rPr>
        <w:t>1.</w:t>
      </w:r>
      <w:r>
        <w:rPr>
          <w:rFonts w:hint="eastAsia" w:ascii="黑体" w:hAnsi="黑体" w:eastAsia="黑体" w:cs="黑体"/>
          <w:color w:val="auto"/>
          <w:sz w:val="28"/>
          <w:lang w:val="en-US" w:eastAsia="zh-CN"/>
        </w:rPr>
        <w:t>7</w:t>
      </w:r>
      <w:r>
        <w:rPr>
          <w:rFonts w:ascii="黑体" w:hAnsi="黑体" w:eastAsia="黑体" w:cs="黑体"/>
          <w:color w:val="auto"/>
          <w:sz w:val="28"/>
        </w:rPr>
        <w:t>投标预备会</w:t>
      </w:r>
      <w:r>
        <w:rPr>
          <w:rFonts w:hint="eastAsia" w:ascii="黑体" w:hAnsi="黑体" w:eastAsia="黑体" w:cs="黑体"/>
          <w:color w:val="auto"/>
          <w:sz w:val="28"/>
          <w:lang w:eastAsia="zh-CN"/>
        </w:rPr>
        <w:t>：</w:t>
      </w:r>
      <w:r>
        <w:rPr>
          <w:color w:val="auto"/>
        </w:rPr>
        <w:t>本次</w:t>
      </w:r>
      <w:r>
        <w:rPr>
          <w:rFonts w:hint="eastAsia"/>
          <w:color w:val="auto"/>
          <w:lang w:eastAsia="zh-CN"/>
        </w:rPr>
        <w:t>招议标</w:t>
      </w:r>
      <w:r>
        <w:rPr>
          <w:color w:val="auto"/>
        </w:rPr>
        <w:t>不举行投标预备会。</w:t>
      </w:r>
    </w:p>
    <w:p>
      <w:pPr>
        <w:pStyle w:val="8"/>
        <w:spacing w:after="297"/>
        <w:ind w:left="132"/>
        <w:rPr>
          <w:rFonts w:hint="default"/>
          <w:lang w:val="en-US" w:eastAsia="zh-CN"/>
        </w:rPr>
      </w:pPr>
      <w:r>
        <w:rPr>
          <w:color w:val="auto"/>
        </w:rPr>
        <w:t>1.</w:t>
      </w:r>
      <w:r>
        <w:rPr>
          <w:rFonts w:hint="eastAsia"/>
          <w:color w:val="auto"/>
          <w:lang w:val="en-US" w:eastAsia="zh-CN"/>
        </w:rPr>
        <w:t>8</w:t>
      </w:r>
      <w:r>
        <w:rPr>
          <w:color w:val="auto"/>
        </w:rPr>
        <w:t>分包</w:t>
      </w:r>
      <w:r>
        <w:rPr>
          <w:rFonts w:hint="eastAsia"/>
          <w:color w:val="auto"/>
          <w:lang w:eastAsia="zh-CN"/>
        </w:rPr>
        <w:t>：</w:t>
      </w:r>
      <w:r>
        <w:rPr>
          <w:rFonts w:hint="eastAsia" w:ascii="宋体" w:hAnsi="宋体" w:eastAsia="宋体" w:cs="宋体"/>
          <w:color w:val="auto"/>
          <w:sz w:val="21"/>
          <w:szCs w:val="21"/>
          <w:lang w:val="en-US" w:eastAsia="zh-CN"/>
        </w:rPr>
        <w:t>中标人不得分包</w:t>
      </w:r>
    </w:p>
    <w:p>
      <w:pPr>
        <w:pStyle w:val="8"/>
        <w:spacing w:after="297"/>
        <w:ind w:left="132"/>
        <w:rPr>
          <w:rFonts w:hint="eastAsia" w:eastAsia="黑体"/>
          <w:color w:val="auto"/>
          <w:lang w:eastAsia="zh-CN"/>
        </w:rPr>
      </w:pPr>
      <w:r>
        <w:rPr>
          <w:color w:val="auto"/>
        </w:rPr>
        <w:t>1.</w:t>
      </w:r>
      <w:r>
        <w:rPr>
          <w:rFonts w:hint="eastAsia"/>
          <w:color w:val="auto"/>
          <w:lang w:val="en-US" w:eastAsia="zh-CN"/>
        </w:rPr>
        <w:t>9</w:t>
      </w:r>
      <w:r>
        <w:rPr>
          <w:color w:val="auto"/>
        </w:rPr>
        <w:t>响应和偏差</w:t>
      </w:r>
      <w:r>
        <w:rPr>
          <w:rFonts w:hint="eastAsia"/>
          <w:color w:val="auto"/>
          <w:lang w:eastAsia="zh-CN"/>
        </w:rPr>
        <w:t>：</w:t>
      </w:r>
      <w:r>
        <w:rPr>
          <w:rFonts w:hint="eastAsia" w:ascii="宋体" w:hAnsi="宋体" w:eastAsia="宋体" w:cs="宋体"/>
          <w:color w:val="auto"/>
          <w:sz w:val="21"/>
          <w:szCs w:val="21"/>
          <w:lang w:eastAsia="zh-CN"/>
        </w:rPr>
        <w:t>投标人应当相应招议标文件要求，不得出现偏差。</w:t>
      </w:r>
    </w:p>
    <w:p>
      <w:pPr>
        <w:pStyle w:val="4"/>
        <w:ind w:left="-5" w:right="0"/>
        <w:rPr>
          <w:color w:val="auto"/>
        </w:rPr>
      </w:pPr>
      <w:bookmarkStart w:id="36" w:name="_Toc279"/>
      <w:r>
        <w:rPr>
          <w:color w:val="auto"/>
        </w:rPr>
        <w:t xml:space="preserve">2. </w:t>
      </w:r>
      <w:r>
        <w:rPr>
          <w:rFonts w:hint="eastAsia"/>
          <w:color w:val="auto"/>
          <w:lang w:eastAsia="zh-CN"/>
        </w:rPr>
        <w:t>招议标</w:t>
      </w:r>
      <w:r>
        <w:rPr>
          <w:color w:val="auto"/>
        </w:rPr>
        <w:t>文件</w:t>
      </w:r>
      <w:bookmarkEnd w:id="36"/>
    </w:p>
    <w:p>
      <w:pPr>
        <w:pStyle w:val="7"/>
        <w:ind w:left="132"/>
        <w:rPr>
          <w:color w:val="auto"/>
        </w:rPr>
      </w:pPr>
      <w:r>
        <w:rPr>
          <w:color w:val="auto"/>
        </w:rPr>
        <w:t xml:space="preserve">2.1 </w:t>
      </w:r>
      <w:r>
        <w:rPr>
          <w:rFonts w:hint="eastAsia"/>
          <w:color w:val="auto"/>
          <w:lang w:eastAsia="zh-CN"/>
        </w:rPr>
        <w:t>招议标</w:t>
      </w:r>
      <w:r>
        <w:rPr>
          <w:color w:val="auto"/>
        </w:rPr>
        <w:t>文件的组成</w:t>
      </w:r>
    </w:p>
    <w:p>
      <w:pPr>
        <w:spacing w:after="158"/>
        <w:ind w:left="367"/>
        <w:rPr>
          <w:color w:val="auto"/>
        </w:rPr>
      </w:pPr>
      <w:r>
        <w:rPr>
          <w:color w:val="auto"/>
        </w:rPr>
        <w:t>本</w:t>
      </w:r>
      <w:r>
        <w:rPr>
          <w:rFonts w:hint="eastAsia"/>
          <w:color w:val="auto"/>
          <w:lang w:eastAsia="zh-CN"/>
        </w:rPr>
        <w:t>招议标</w:t>
      </w:r>
      <w:r>
        <w:rPr>
          <w:color w:val="auto"/>
        </w:rPr>
        <w:t>文件包括：</w:t>
      </w:r>
    </w:p>
    <w:p>
      <w:pPr>
        <w:numPr>
          <w:ilvl w:val="0"/>
          <w:numId w:val="4"/>
        </w:numPr>
        <w:spacing w:after="158"/>
        <w:ind w:left="884" w:hanging="526"/>
        <w:rPr>
          <w:color w:val="auto"/>
        </w:rPr>
      </w:pPr>
      <w:r>
        <w:rPr>
          <w:rFonts w:hint="eastAsia"/>
          <w:color w:val="auto"/>
          <w:lang w:eastAsia="zh-CN"/>
        </w:rPr>
        <w:t>招议标</w:t>
      </w:r>
      <w:r>
        <w:rPr>
          <w:color w:val="auto"/>
        </w:rPr>
        <w:t>公告；</w:t>
      </w:r>
    </w:p>
    <w:p>
      <w:pPr>
        <w:numPr>
          <w:ilvl w:val="0"/>
          <w:numId w:val="4"/>
        </w:numPr>
        <w:spacing w:after="155"/>
        <w:ind w:left="884" w:hanging="526"/>
        <w:rPr>
          <w:color w:val="auto"/>
        </w:rPr>
      </w:pPr>
      <w:r>
        <w:rPr>
          <w:color w:val="auto"/>
        </w:rPr>
        <w:t>投标人须知；</w:t>
      </w:r>
    </w:p>
    <w:p>
      <w:pPr>
        <w:numPr>
          <w:ilvl w:val="0"/>
          <w:numId w:val="4"/>
        </w:numPr>
        <w:spacing w:after="158"/>
        <w:ind w:left="884" w:hanging="526"/>
        <w:rPr>
          <w:color w:val="auto"/>
        </w:rPr>
      </w:pPr>
      <w:r>
        <w:rPr>
          <w:color w:val="auto"/>
        </w:rPr>
        <w:t>评标办法；</w:t>
      </w:r>
    </w:p>
    <w:p>
      <w:pPr>
        <w:numPr>
          <w:ilvl w:val="0"/>
          <w:numId w:val="4"/>
        </w:numPr>
        <w:spacing w:after="158"/>
        <w:ind w:left="884" w:hanging="526"/>
        <w:rPr>
          <w:color w:val="auto"/>
        </w:rPr>
      </w:pPr>
      <w:r>
        <w:rPr>
          <w:color w:val="auto"/>
        </w:rPr>
        <w:t>投标人须知前附表规定的其他资料</w:t>
      </w:r>
      <w:r>
        <w:rPr>
          <w:rFonts w:hint="eastAsia"/>
          <w:color w:val="auto"/>
          <w:lang w:eastAsia="zh-CN"/>
        </w:rPr>
        <w:t>；</w:t>
      </w:r>
    </w:p>
    <w:p>
      <w:pPr>
        <w:spacing w:after="245" w:line="405" w:lineRule="auto"/>
        <w:ind w:left="-15" w:firstLine="420"/>
        <w:rPr>
          <w:color w:val="auto"/>
        </w:rPr>
      </w:pPr>
      <w:r>
        <w:rPr>
          <w:rFonts w:hint="eastAsia"/>
          <w:color w:val="auto"/>
          <w:lang w:eastAsia="zh-CN"/>
        </w:rPr>
        <w:t>（</w:t>
      </w:r>
      <w:r>
        <w:rPr>
          <w:rFonts w:hint="eastAsia"/>
          <w:color w:val="auto"/>
          <w:lang w:val="en-US" w:eastAsia="zh-CN"/>
        </w:rPr>
        <w:t>5</w:t>
      </w:r>
      <w:r>
        <w:rPr>
          <w:rFonts w:hint="eastAsia"/>
          <w:color w:val="auto"/>
          <w:lang w:eastAsia="zh-CN"/>
        </w:rPr>
        <w:t>）</w:t>
      </w:r>
      <w:r>
        <w:rPr>
          <w:color w:val="auto"/>
        </w:rPr>
        <w:t>对</w:t>
      </w:r>
      <w:r>
        <w:rPr>
          <w:rFonts w:hint="eastAsia"/>
          <w:color w:val="auto"/>
          <w:lang w:eastAsia="zh-CN"/>
        </w:rPr>
        <w:t>招议标</w:t>
      </w:r>
      <w:r>
        <w:rPr>
          <w:color w:val="auto"/>
        </w:rPr>
        <w:t>文件所做的澄清、修改，构成</w:t>
      </w:r>
      <w:r>
        <w:rPr>
          <w:rFonts w:hint="eastAsia"/>
          <w:color w:val="auto"/>
          <w:lang w:eastAsia="zh-CN"/>
        </w:rPr>
        <w:t>招议标</w:t>
      </w:r>
      <w:r>
        <w:rPr>
          <w:color w:val="auto"/>
        </w:rPr>
        <w:t>文件的组成部分。</w:t>
      </w:r>
    </w:p>
    <w:p>
      <w:pPr>
        <w:pStyle w:val="7"/>
        <w:ind w:left="132"/>
        <w:rPr>
          <w:color w:val="auto"/>
        </w:rPr>
      </w:pPr>
      <w:r>
        <w:rPr>
          <w:color w:val="auto"/>
        </w:rPr>
        <w:t xml:space="preserve">2.2 </w:t>
      </w:r>
      <w:r>
        <w:rPr>
          <w:rFonts w:hint="eastAsia"/>
          <w:color w:val="auto"/>
          <w:lang w:eastAsia="zh-CN"/>
        </w:rPr>
        <w:t>招议标</w:t>
      </w:r>
      <w:r>
        <w:rPr>
          <w:color w:val="auto"/>
        </w:rPr>
        <w:t>文件的澄清</w:t>
      </w:r>
    </w:p>
    <w:p>
      <w:pPr>
        <w:spacing w:line="406" w:lineRule="auto"/>
        <w:ind w:left="-15" w:firstLine="420"/>
        <w:rPr>
          <w:color w:val="auto"/>
        </w:rPr>
      </w:pPr>
      <w:r>
        <w:rPr>
          <w:color w:val="auto"/>
        </w:rPr>
        <w:t>2.2.1投标人应仔细阅读和检查</w:t>
      </w:r>
      <w:r>
        <w:rPr>
          <w:rFonts w:hint="eastAsia"/>
          <w:color w:val="auto"/>
          <w:lang w:eastAsia="zh-CN"/>
        </w:rPr>
        <w:t>招议标</w:t>
      </w:r>
      <w:r>
        <w:rPr>
          <w:color w:val="auto"/>
        </w:rPr>
        <w:t>文件的全部内容。如发现缺页或附件不全，应及时向</w:t>
      </w:r>
      <w:r>
        <w:rPr>
          <w:rFonts w:hint="eastAsia"/>
          <w:color w:val="auto"/>
          <w:lang w:eastAsia="zh-CN"/>
        </w:rPr>
        <w:t>招议标</w:t>
      </w:r>
      <w:r>
        <w:rPr>
          <w:color w:val="auto"/>
        </w:rPr>
        <w:t>人提出，以便补齐。如有疑问，应按投标人须知前附表规定的时间和形式将提出的问题送达</w:t>
      </w:r>
      <w:r>
        <w:rPr>
          <w:rFonts w:hint="eastAsia"/>
          <w:color w:val="auto"/>
          <w:lang w:eastAsia="zh-CN"/>
        </w:rPr>
        <w:t>招议标</w:t>
      </w:r>
      <w:r>
        <w:rPr>
          <w:color w:val="auto"/>
        </w:rPr>
        <w:t>人，要求</w:t>
      </w:r>
      <w:r>
        <w:rPr>
          <w:rFonts w:hint="eastAsia"/>
          <w:color w:val="auto"/>
          <w:lang w:eastAsia="zh-CN"/>
        </w:rPr>
        <w:t>招议标</w:t>
      </w:r>
      <w:r>
        <w:rPr>
          <w:color w:val="auto"/>
        </w:rPr>
        <w:t>人对</w:t>
      </w:r>
      <w:r>
        <w:rPr>
          <w:rFonts w:hint="eastAsia"/>
          <w:color w:val="auto"/>
          <w:lang w:eastAsia="zh-CN"/>
        </w:rPr>
        <w:t>招议标</w:t>
      </w:r>
      <w:r>
        <w:rPr>
          <w:color w:val="auto"/>
        </w:rPr>
        <w:t>文件予以澄清。</w:t>
      </w:r>
    </w:p>
    <w:p>
      <w:pPr>
        <w:spacing w:line="419" w:lineRule="auto"/>
        <w:ind w:left="-15" w:firstLine="420"/>
        <w:rPr>
          <w:color w:val="auto"/>
        </w:rPr>
      </w:pPr>
      <w:r>
        <w:rPr>
          <w:color w:val="auto"/>
        </w:rPr>
        <w:t xml:space="preserve">2.2.2 </w:t>
      </w:r>
      <w:r>
        <w:rPr>
          <w:rFonts w:hint="eastAsia"/>
          <w:color w:val="auto"/>
          <w:lang w:eastAsia="zh-CN"/>
        </w:rPr>
        <w:t>招议标</w:t>
      </w:r>
      <w:r>
        <w:rPr>
          <w:color w:val="auto"/>
        </w:rPr>
        <w:t>文件的澄清将在投标截止时间</w:t>
      </w:r>
      <w:r>
        <w:rPr>
          <w:rFonts w:hint="eastAsia"/>
          <w:color w:val="auto"/>
        </w:rPr>
        <w:t>3</w:t>
      </w:r>
      <w:r>
        <w:rPr>
          <w:color w:val="auto"/>
        </w:rPr>
        <w:t>日前在投标人须知前附表规定的网站上发布，但不指明澄清问题的来源，投标人自行下载，</w:t>
      </w:r>
      <w:r>
        <w:rPr>
          <w:rFonts w:hint="eastAsia"/>
          <w:color w:val="auto"/>
          <w:lang w:eastAsia="zh-CN"/>
        </w:rPr>
        <w:t>招议标</w:t>
      </w:r>
      <w:r>
        <w:rPr>
          <w:color w:val="auto"/>
        </w:rPr>
        <w:t>人不另行通知。该澄清作为</w:t>
      </w:r>
      <w:r>
        <w:rPr>
          <w:rFonts w:hint="eastAsia"/>
          <w:color w:val="auto"/>
          <w:lang w:eastAsia="zh-CN"/>
        </w:rPr>
        <w:t>招议标</w:t>
      </w:r>
      <w:r>
        <w:rPr>
          <w:color w:val="auto"/>
        </w:rPr>
        <w:t>文件的组成部分。澄清发出的时间距投标人须知前附表规定的投标截止时间不足</w:t>
      </w:r>
      <w:r>
        <w:rPr>
          <w:rFonts w:hint="eastAsia"/>
          <w:color w:val="auto"/>
        </w:rPr>
        <w:t>3</w:t>
      </w:r>
      <w:r>
        <w:rPr>
          <w:color w:val="auto"/>
        </w:rPr>
        <w:t>日的，并且澄清内容影响投标文件编制的，相应延长投标截止时间。</w:t>
      </w:r>
    </w:p>
    <w:p>
      <w:pPr>
        <w:spacing w:after="175" w:line="417" w:lineRule="auto"/>
        <w:ind w:left="-15" w:right="194" w:firstLine="410"/>
        <w:jc w:val="both"/>
        <w:rPr>
          <w:rFonts w:hint="eastAsia" w:eastAsia="宋体"/>
          <w:color w:val="auto"/>
          <w:lang w:eastAsia="zh-CN"/>
        </w:rPr>
      </w:pPr>
      <w:r>
        <w:rPr>
          <w:color w:val="auto"/>
        </w:rPr>
        <w:t>2.2.3 投标人须留意投标人须知前附表第2.2.2 款所列网站发布的澄清通知，在浏览澄清通知后，投标人自行下载该澄清通知，不需要确认。投标人未留意该澄清通知而造成的后果由投标人自行承担</w:t>
      </w:r>
      <w:r>
        <w:rPr>
          <w:rFonts w:hint="eastAsia"/>
          <w:color w:val="auto"/>
          <w:lang w:eastAsia="zh-CN"/>
        </w:rPr>
        <w:t>。</w:t>
      </w:r>
    </w:p>
    <w:p>
      <w:pPr>
        <w:spacing w:after="240" w:line="407" w:lineRule="auto"/>
        <w:ind w:left="-15" w:firstLine="420"/>
        <w:rPr>
          <w:color w:val="auto"/>
        </w:rPr>
      </w:pPr>
      <w:r>
        <w:rPr>
          <w:color w:val="auto"/>
        </w:rPr>
        <w:t>2.2.4除非</w:t>
      </w:r>
      <w:r>
        <w:rPr>
          <w:rFonts w:hint="eastAsia"/>
          <w:color w:val="auto"/>
          <w:lang w:eastAsia="zh-CN"/>
        </w:rPr>
        <w:t>招议标</w:t>
      </w:r>
      <w:r>
        <w:rPr>
          <w:color w:val="auto"/>
        </w:rPr>
        <w:t>人认为确有必要答复，否则，</w:t>
      </w:r>
      <w:r>
        <w:rPr>
          <w:rFonts w:hint="eastAsia"/>
          <w:color w:val="auto"/>
          <w:lang w:eastAsia="zh-CN"/>
        </w:rPr>
        <w:t>招议标</w:t>
      </w:r>
      <w:r>
        <w:rPr>
          <w:color w:val="auto"/>
        </w:rPr>
        <w:t>人有权拒绝回复投标人在本章第2.2.1项规定的时间后提出的任何澄清要求。</w:t>
      </w:r>
    </w:p>
    <w:p>
      <w:pPr>
        <w:pStyle w:val="7"/>
        <w:ind w:left="132"/>
        <w:rPr>
          <w:color w:val="auto"/>
        </w:rPr>
      </w:pPr>
      <w:r>
        <w:rPr>
          <w:color w:val="auto"/>
        </w:rPr>
        <w:t xml:space="preserve">2.3 </w:t>
      </w:r>
      <w:r>
        <w:rPr>
          <w:rFonts w:hint="eastAsia"/>
          <w:color w:val="auto"/>
          <w:lang w:eastAsia="zh-CN"/>
        </w:rPr>
        <w:t>招议标</w:t>
      </w:r>
      <w:r>
        <w:rPr>
          <w:color w:val="auto"/>
        </w:rPr>
        <w:t>文件的修改</w:t>
      </w:r>
    </w:p>
    <w:p>
      <w:pPr>
        <w:spacing w:line="406" w:lineRule="auto"/>
        <w:ind w:left="-15" w:firstLine="420"/>
        <w:rPr>
          <w:color w:val="auto"/>
        </w:rPr>
      </w:pPr>
      <w:r>
        <w:rPr>
          <w:color w:val="auto"/>
        </w:rPr>
        <w:t>2.3.1</w:t>
      </w:r>
      <w:r>
        <w:rPr>
          <w:rFonts w:hint="eastAsia"/>
          <w:color w:val="auto"/>
          <w:lang w:eastAsia="zh-CN"/>
        </w:rPr>
        <w:t>招议标</w:t>
      </w:r>
      <w:r>
        <w:rPr>
          <w:color w:val="auto"/>
        </w:rPr>
        <w:t>人以投标人须知前附表规定的形式修改</w:t>
      </w:r>
      <w:r>
        <w:rPr>
          <w:rFonts w:hint="eastAsia"/>
          <w:color w:val="auto"/>
          <w:lang w:eastAsia="zh-CN"/>
        </w:rPr>
        <w:t>招议标</w:t>
      </w:r>
      <w:r>
        <w:rPr>
          <w:color w:val="auto"/>
        </w:rPr>
        <w:t>文件，投标人须知前附表规定的网站上发布，该修改作为</w:t>
      </w:r>
      <w:r>
        <w:rPr>
          <w:rFonts w:hint="eastAsia"/>
          <w:color w:val="auto"/>
          <w:lang w:eastAsia="zh-CN"/>
        </w:rPr>
        <w:t>招议标</w:t>
      </w:r>
      <w:r>
        <w:rPr>
          <w:color w:val="auto"/>
        </w:rPr>
        <w:t>文件的组成部分。修改</w:t>
      </w:r>
      <w:r>
        <w:rPr>
          <w:rFonts w:hint="eastAsia"/>
          <w:color w:val="auto"/>
          <w:lang w:eastAsia="zh-CN"/>
        </w:rPr>
        <w:t>招议标</w:t>
      </w:r>
      <w:r>
        <w:rPr>
          <w:color w:val="auto"/>
        </w:rPr>
        <w:t>文件的时间距规定的投标截止时间不足</w:t>
      </w:r>
      <w:r>
        <w:rPr>
          <w:rFonts w:hint="eastAsia"/>
          <w:color w:val="auto"/>
          <w:u w:val="single"/>
        </w:rPr>
        <w:t>2</w:t>
      </w:r>
      <w:r>
        <w:rPr>
          <w:color w:val="auto"/>
        </w:rPr>
        <w:t>日的，并且修改内容可能影响投标文件编制的，将相应延长投标截止时间。</w:t>
      </w:r>
    </w:p>
    <w:p>
      <w:pPr>
        <w:spacing w:after="232" w:line="417" w:lineRule="auto"/>
        <w:ind w:left="-15" w:right="194" w:firstLine="410"/>
        <w:jc w:val="both"/>
        <w:rPr>
          <w:rFonts w:hint="eastAsia" w:eastAsia="宋体"/>
          <w:color w:val="auto"/>
          <w:lang w:eastAsia="zh-CN"/>
        </w:rPr>
      </w:pPr>
      <w:r>
        <w:rPr>
          <w:color w:val="auto"/>
        </w:rPr>
        <w:t>2.3.2 投标人须留意投标人须知前附表第2.3.1 款所列网站发布的修改通知，在浏览修改通知后，投标人自行下载该修改通知，不需要确认。投标人未留意该修改通知而造成的后果由投标人自行承担</w:t>
      </w:r>
      <w:r>
        <w:rPr>
          <w:rFonts w:hint="eastAsia"/>
          <w:color w:val="auto"/>
          <w:lang w:eastAsia="zh-CN"/>
        </w:rPr>
        <w:t>。</w:t>
      </w:r>
    </w:p>
    <w:p>
      <w:pPr>
        <w:pStyle w:val="7"/>
        <w:ind w:left="132"/>
        <w:rPr>
          <w:color w:val="auto"/>
        </w:rPr>
      </w:pPr>
      <w:r>
        <w:rPr>
          <w:color w:val="auto"/>
        </w:rPr>
        <w:t xml:space="preserve">2.4 </w:t>
      </w:r>
      <w:r>
        <w:rPr>
          <w:rFonts w:hint="eastAsia"/>
          <w:color w:val="auto"/>
          <w:lang w:eastAsia="zh-CN"/>
        </w:rPr>
        <w:t>招议标</w:t>
      </w:r>
      <w:r>
        <w:rPr>
          <w:color w:val="auto"/>
        </w:rPr>
        <w:t>文件的异议</w:t>
      </w:r>
    </w:p>
    <w:p>
      <w:pPr>
        <w:spacing w:after="245" w:line="405" w:lineRule="auto"/>
        <w:ind w:left="-15" w:firstLine="420"/>
        <w:rPr>
          <w:color w:val="auto"/>
        </w:rPr>
      </w:pPr>
      <w:r>
        <w:rPr>
          <w:color w:val="auto"/>
        </w:rPr>
        <w:t>投标人或者其他利害关系人对</w:t>
      </w:r>
      <w:r>
        <w:rPr>
          <w:rFonts w:hint="eastAsia"/>
          <w:color w:val="auto"/>
          <w:lang w:eastAsia="zh-CN"/>
        </w:rPr>
        <w:t>招议标</w:t>
      </w:r>
      <w:r>
        <w:rPr>
          <w:color w:val="auto"/>
        </w:rPr>
        <w:t>文件有异议的，应当在投标截止时间</w:t>
      </w:r>
      <w:r>
        <w:rPr>
          <w:rFonts w:hint="eastAsia"/>
          <w:color w:val="auto"/>
          <w:u w:val="single"/>
        </w:rPr>
        <w:t>2</w:t>
      </w:r>
      <w:r>
        <w:rPr>
          <w:color w:val="auto"/>
        </w:rPr>
        <w:t>日前以书面形式提出。</w:t>
      </w:r>
      <w:r>
        <w:rPr>
          <w:rFonts w:hint="eastAsia"/>
          <w:color w:val="auto"/>
          <w:lang w:eastAsia="zh-CN"/>
        </w:rPr>
        <w:t>招议标</w:t>
      </w:r>
      <w:r>
        <w:rPr>
          <w:color w:val="auto"/>
        </w:rPr>
        <w:t>人将在收到异议之日起</w:t>
      </w:r>
      <w:r>
        <w:rPr>
          <w:color w:val="auto"/>
          <w:u w:val="single"/>
        </w:rPr>
        <w:t>3</w:t>
      </w:r>
      <w:r>
        <w:rPr>
          <w:color w:val="auto"/>
        </w:rPr>
        <w:t>日内作出答复；作出答复前，将暂停</w:t>
      </w:r>
      <w:r>
        <w:rPr>
          <w:rFonts w:hint="eastAsia"/>
          <w:color w:val="auto"/>
          <w:lang w:eastAsia="zh-CN"/>
        </w:rPr>
        <w:t>招议标</w:t>
      </w:r>
      <w:r>
        <w:rPr>
          <w:color w:val="auto"/>
        </w:rPr>
        <w:t>投标活动。</w:t>
      </w:r>
    </w:p>
    <w:p>
      <w:pPr>
        <w:pStyle w:val="4"/>
        <w:ind w:left="-5" w:right="0"/>
        <w:rPr>
          <w:color w:val="auto"/>
        </w:rPr>
      </w:pPr>
      <w:bookmarkStart w:id="37" w:name="_Toc17487"/>
      <w:r>
        <w:rPr>
          <w:color w:val="auto"/>
        </w:rPr>
        <w:t>3. 投标文件</w:t>
      </w:r>
      <w:bookmarkEnd w:id="37"/>
    </w:p>
    <w:p>
      <w:pPr>
        <w:pStyle w:val="7"/>
        <w:ind w:left="132"/>
        <w:rPr>
          <w:color w:val="auto"/>
        </w:rPr>
      </w:pPr>
      <w:r>
        <w:rPr>
          <w:color w:val="auto"/>
        </w:rPr>
        <w:t>3.1 投标文件的组成</w:t>
      </w:r>
    </w:p>
    <w:p>
      <w:pPr>
        <w:spacing w:after="158"/>
        <w:ind w:left="429"/>
        <w:rPr>
          <w:color w:val="auto"/>
          <w:sz w:val="21"/>
          <w:szCs w:val="21"/>
        </w:rPr>
      </w:pPr>
      <w:r>
        <w:rPr>
          <w:color w:val="auto"/>
          <w:sz w:val="21"/>
          <w:szCs w:val="21"/>
        </w:rPr>
        <w:t>3.1.1投标文件应包括下列内容：</w:t>
      </w:r>
    </w:p>
    <w:p>
      <w:pPr>
        <w:numPr>
          <w:ilvl w:val="0"/>
          <w:numId w:val="5"/>
        </w:numPr>
        <w:spacing w:after="155"/>
        <w:ind w:hanging="629"/>
        <w:rPr>
          <w:color w:val="auto"/>
          <w:sz w:val="21"/>
          <w:szCs w:val="21"/>
        </w:rPr>
      </w:pPr>
      <w:r>
        <w:rPr>
          <w:rFonts w:hint="eastAsia"/>
          <w:color w:val="auto"/>
          <w:sz w:val="21"/>
          <w:szCs w:val="21"/>
          <w:lang w:eastAsia="zh-CN"/>
        </w:rPr>
        <w:t>律师事务所职业许可证</w:t>
      </w:r>
      <w:r>
        <w:rPr>
          <w:color w:val="auto"/>
          <w:sz w:val="21"/>
          <w:szCs w:val="21"/>
        </w:rPr>
        <w:t>；</w:t>
      </w:r>
    </w:p>
    <w:p>
      <w:pPr>
        <w:numPr>
          <w:ilvl w:val="0"/>
          <w:numId w:val="5"/>
        </w:numPr>
        <w:spacing w:after="158"/>
        <w:ind w:hanging="629"/>
        <w:rPr>
          <w:color w:val="auto"/>
          <w:sz w:val="21"/>
          <w:szCs w:val="21"/>
        </w:rPr>
      </w:pPr>
      <w:r>
        <w:rPr>
          <w:rFonts w:hint="eastAsia"/>
          <w:color w:val="auto"/>
          <w:sz w:val="21"/>
          <w:szCs w:val="21"/>
          <w:lang w:eastAsia="zh-CN"/>
        </w:rPr>
        <w:t>授权委托书；</w:t>
      </w:r>
    </w:p>
    <w:p>
      <w:pPr>
        <w:numPr>
          <w:ilvl w:val="0"/>
          <w:numId w:val="5"/>
        </w:numPr>
        <w:spacing w:after="158"/>
        <w:ind w:hanging="629"/>
        <w:rPr>
          <w:color w:val="auto"/>
          <w:sz w:val="21"/>
          <w:szCs w:val="21"/>
        </w:rPr>
      </w:pPr>
      <w:r>
        <w:rPr>
          <w:color w:val="auto"/>
          <w:sz w:val="21"/>
          <w:szCs w:val="21"/>
        </w:rPr>
        <w:t>联合体协议书</w:t>
      </w:r>
      <w:r>
        <w:rPr>
          <w:rFonts w:hint="eastAsia"/>
          <w:color w:val="auto"/>
          <w:sz w:val="21"/>
          <w:szCs w:val="21"/>
          <w:lang w:eastAsia="zh-CN"/>
        </w:rPr>
        <w:t>、联合体营业执照等</w:t>
      </w:r>
      <w:r>
        <w:rPr>
          <w:color w:val="auto"/>
          <w:sz w:val="21"/>
          <w:szCs w:val="21"/>
        </w:rPr>
        <w:t>；</w:t>
      </w:r>
    </w:p>
    <w:p>
      <w:pPr>
        <w:numPr>
          <w:ilvl w:val="0"/>
          <w:numId w:val="5"/>
        </w:numPr>
        <w:spacing w:after="158"/>
        <w:ind w:hanging="629"/>
        <w:rPr>
          <w:sz w:val="21"/>
          <w:szCs w:val="21"/>
        </w:rPr>
      </w:pPr>
      <w:r>
        <w:rPr>
          <w:rFonts w:hint="eastAsia"/>
          <w:color w:val="auto"/>
          <w:sz w:val="21"/>
          <w:szCs w:val="21"/>
          <w:lang w:eastAsia="zh-CN"/>
        </w:rPr>
        <w:t>律师事务所简介、所获荣誉（如有）</w:t>
      </w:r>
      <w:r>
        <w:rPr>
          <w:color w:val="auto"/>
          <w:sz w:val="21"/>
          <w:szCs w:val="21"/>
        </w:rPr>
        <w:t>；</w:t>
      </w:r>
    </w:p>
    <w:p>
      <w:pPr>
        <w:pStyle w:val="2"/>
        <w:rPr>
          <w:color w:val="FF0000"/>
        </w:rPr>
      </w:pPr>
      <w:r>
        <w:rPr>
          <w:rFonts w:hint="eastAsia"/>
          <w:color w:val="auto"/>
          <w:sz w:val="21"/>
          <w:szCs w:val="21"/>
          <w:lang w:val="en-US" w:eastAsia="zh-CN"/>
        </w:rPr>
        <w:t xml:space="preserve">         （4）报价方案；</w:t>
      </w:r>
    </w:p>
    <w:p>
      <w:pPr>
        <w:numPr>
          <w:ilvl w:val="0"/>
          <w:numId w:val="0"/>
        </w:numPr>
        <w:spacing w:after="0" w:line="269" w:lineRule="auto"/>
        <w:ind w:leftChars="200"/>
        <w:rPr>
          <w:color w:val="auto"/>
        </w:rPr>
      </w:pPr>
      <w:r>
        <w:rPr>
          <w:rFonts w:hint="eastAsia"/>
          <w:color w:val="auto"/>
          <w:lang w:eastAsia="zh-CN"/>
        </w:rPr>
        <w:t>（</w:t>
      </w:r>
      <w:r>
        <w:rPr>
          <w:rFonts w:hint="eastAsia"/>
          <w:color w:val="auto"/>
          <w:lang w:val="en-US" w:eastAsia="zh-CN"/>
        </w:rPr>
        <w:t>5</w:t>
      </w:r>
      <w:r>
        <w:rPr>
          <w:rFonts w:hint="eastAsia"/>
          <w:color w:val="auto"/>
          <w:lang w:eastAsia="zh-CN"/>
        </w:rPr>
        <w:t>）</w:t>
      </w:r>
      <w:r>
        <w:rPr>
          <w:color w:val="auto"/>
        </w:rPr>
        <w:t>投标人须知前附表规定的其他资料。</w:t>
      </w:r>
    </w:p>
    <w:p>
      <w:pPr>
        <w:spacing w:line="407" w:lineRule="auto"/>
        <w:ind w:left="-15" w:firstLine="420"/>
        <w:rPr>
          <w:color w:val="auto"/>
        </w:rPr>
      </w:pPr>
      <w:r>
        <w:rPr>
          <w:color w:val="auto"/>
        </w:rPr>
        <w:t>投标人在评标过程中作出的符合法律法规和</w:t>
      </w:r>
      <w:r>
        <w:rPr>
          <w:rFonts w:hint="eastAsia"/>
          <w:color w:val="auto"/>
          <w:lang w:eastAsia="zh-CN"/>
        </w:rPr>
        <w:t>招议标</w:t>
      </w:r>
      <w:r>
        <w:rPr>
          <w:color w:val="auto"/>
        </w:rPr>
        <w:t>文件规定的澄清确认，构成投标文件的组成部分。</w:t>
      </w:r>
    </w:p>
    <w:p>
      <w:pPr>
        <w:pStyle w:val="7"/>
        <w:ind w:left="132"/>
        <w:rPr>
          <w:color w:val="auto"/>
        </w:rPr>
      </w:pPr>
      <w:r>
        <w:rPr>
          <w:color w:val="auto"/>
        </w:rPr>
        <w:t>3.3 投标有效期</w:t>
      </w:r>
    </w:p>
    <w:p>
      <w:pPr>
        <w:spacing w:after="158"/>
        <w:ind w:left="429"/>
        <w:rPr>
          <w:color w:val="auto"/>
        </w:rPr>
      </w:pPr>
      <w:r>
        <w:rPr>
          <w:color w:val="auto"/>
        </w:rPr>
        <w:t>3.3.1除投标人须知前附表另有规定外，投标有效期为</w:t>
      </w:r>
      <w:r>
        <w:rPr>
          <w:rFonts w:hint="eastAsia"/>
          <w:color w:val="auto"/>
          <w:lang w:eastAsia="zh-CN"/>
        </w:rPr>
        <w:t>投标公告发布后</w:t>
      </w:r>
      <w:r>
        <w:rPr>
          <w:rFonts w:hint="eastAsia"/>
          <w:color w:val="auto"/>
          <w:lang w:val="en-US" w:eastAsia="zh-CN"/>
        </w:rPr>
        <w:t>10</w:t>
      </w:r>
      <w:r>
        <w:rPr>
          <w:color w:val="auto"/>
        </w:rPr>
        <w:t>日。</w:t>
      </w:r>
    </w:p>
    <w:p>
      <w:pPr>
        <w:spacing w:after="155"/>
        <w:ind w:left="429"/>
        <w:rPr>
          <w:color w:val="auto"/>
        </w:rPr>
      </w:pPr>
      <w:r>
        <w:rPr>
          <w:color w:val="auto"/>
        </w:rPr>
        <w:t>3.3.2在投标有效期内，投标人撤销投标文件的，应承担</w:t>
      </w:r>
      <w:r>
        <w:rPr>
          <w:rFonts w:hint="eastAsia"/>
          <w:color w:val="auto"/>
          <w:lang w:eastAsia="zh-CN"/>
        </w:rPr>
        <w:t>招议标</w:t>
      </w:r>
      <w:r>
        <w:rPr>
          <w:color w:val="auto"/>
        </w:rPr>
        <w:t>文件和法律规定的责任。</w:t>
      </w:r>
    </w:p>
    <w:p>
      <w:pPr>
        <w:spacing w:after="398" w:line="440" w:lineRule="exact"/>
        <w:ind w:left="429"/>
        <w:rPr>
          <w:color w:val="FF0000"/>
        </w:rPr>
      </w:pPr>
      <w:r>
        <w:rPr>
          <w:color w:val="auto"/>
        </w:rPr>
        <w:t>3.3.3出现特殊情况需要延长投标有效期的，</w:t>
      </w:r>
      <w:r>
        <w:rPr>
          <w:rFonts w:hint="eastAsia"/>
          <w:color w:val="auto"/>
          <w:lang w:eastAsia="zh-CN"/>
        </w:rPr>
        <w:t>招议标</w:t>
      </w:r>
      <w:r>
        <w:rPr>
          <w:color w:val="auto"/>
        </w:rPr>
        <w:t>人以书面形式通知所有投标人延长投标有效期。</w:t>
      </w:r>
    </w:p>
    <w:p>
      <w:pPr>
        <w:pStyle w:val="7"/>
        <w:spacing w:after="277"/>
        <w:ind w:left="132"/>
        <w:rPr>
          <w:rFonts w:hint="eastAsia" w:eastAsia="黑体"/>
          <w:color w:val="auto"/>
          <w:lang w:val="en-US" w:eastAsia="zh-CN"/>
        </w:rPr>
      </w:pPr>
      <w:r>
        <w:rPr>
          <w:color w:val="auto"/>
        </w:rPr>
        <w:t>3.</w:t>
      </w:r>
      <w:r>
        <w:rPr>
          <w:rFonts w:hint="eastAsia"/>
          <w:color w:val="auto"/>
          <w:lang w:val="en-US" w:eastAsia="zh-CN"/>
        </w:rPr>
        <w:t>4</w:t>
      </w:r>
      <w:r>
        <w:rPr>
          <w:color w:val="auto"/>
        </w:rPr>
        <w:t xml:space="preserve"> 投标文件的</w:t>
      </w:r>
      <w:r>
        <w:rPr>
          <w:rFonts w:hint="eastAsia"/>
          <w:color w:val="auto"/>
          <w:lang w:eastAsia="zh-CN"/>
        </w:rPr>
        <w:t>要求</w:t>
      </w:r>
    </w:p>
    <w:p>
      <w:pPr>
        <w:spacing w:line="400" w:lineRule="exact"/>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lang w:eastAsia="zh-CN"/>
        </w:rPr>
        <w:t>投标文件应当加盖单位印章</w:t>
      </w:r>
      <w:r>
        <w:rPr>
          <w:rFonts w:asciiTheme="minorEastAsia" w:hAnsiTheme="minorEastAsia" w:eastAsiaTheme="minorEastAsia"/>
          <w:color w:val="auto"/>
          <w:szCs w:val="21"/>
        </w:rPr>
        <w:t>。</w:t>
      </w:r>
    </w:p>
    <w:p>
      <w:pPr>
        <w:pStyle w:val="2"/>
      </w:pPr>
    </w:p>
    <w:p>
      <w:pPr>
        <w:pStyle w:val="4"/>
        <w:ind w:left="-5" w:right="0"/>
        <w:rPr>
          <w:color w:val="auto"/>
        </w:rPr>
      </w:pPr>
      <w:bookmarkStart w:id="38" w:name="_Toc6479"/>
      <w:r>
        <w:rPr>
          <w:color w:val="auto"/>
        </w:rPr>
        <w:t>4. 投标</w:t>
      </w:r>
      <w:bookmarkEnd w:id="38"/>
    </w:p>
    <w:p>
      <w:pPr>
        <w:spacing w:line="460" w:lineRule="exact"/>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4.</w:t>
      </w:r>
      <w:r>
        <w:rPr>
          <w:rFonts w:hint="eastAsia" w:asciiTheme="minorEastAsia" w:hAnsiTheme="minorEastAsia" w:eastAsiaTheme="minorEastAsia"/>
          <w:color w:val="auto"/>
          <w:szCs w:val="21"/>
          <w:lang w:val="en-US" w:eastAsia="zh-CN"/>
        </w:rPr>
        <w:t>1</w:t>
      </w:r>
      <w:r>
        <w:rPr>
          <w:rFonts w:asciiTheme="minorEastAsia" w:hAnsiTheme="minorEastAsia" w:eastAsiaTheme="minorEastAsia"/>
          <w:color w:val="auto"/>
          <w:szCs w:val="21"/>
        </w:rPr>
        <w:t>.1投标人应在投标人须知前附表规定的投标截止时间前递交投标文件。</w:t>
      </w:r>
    </w:p>
    <w:p>
      <w:pPr>
        <w:spacing w:after="400"/>
        <w:ind w:left="429"/>
        <w:rPr>
          <w:color w:val="auto"/>
        </w:rPr>
      </w:pPr>
      <w:r>
        <w:rPr>
          <w:rFonts w:asciiTheme="minorEastAsia" w:hAnsiTheme="minorEastAsia" w:eastAsiaTheme="minorEastAsia"/>
          <w:color w:val="auto"/>
          <w:szCs w:val="21"/>
        </w:rPr>
        <w:t>4.</w:t>
      </w:r>
      <w:r>
        <w:rPr>
          <w:rFonts w:hint="eastAsia" w:asciiTheme="minorEastAsia" w:hAnsiTheme="minorEastAsia" w:eastAsiaTheme="minorEastAsia"/>
          <w:color w:val="auto"/>
          <w:szCs w:val="21"/>
          <w:lang w:val="en-US" w:eastAsia="zh-CN"/>
        </w:rPr>
        <w:t>1</w:t>
      </w:r>
      <w:r>
        <w:rPr>
          <w:rFonts w:asciiTheme="minorEastAsia" w:hAnsiTheme="minorEastAsia" w:eastAsiaTheme="minorEastAsia"/>
          <w:color w:val="auto"/>
          <w:szCs w:val="21"/>
        </w:rPr>
        <w:t>.2 逾期送达的投标文件，招（议）标人将予以拒收。</w:t>
      </w:r>
    </w:p>
    <w:p>
      <w:pPr>
        <w:pStyle w:val="4"/>
        <w:ind w:left="-5" w:right="0"/>
        <w:rPr>
          <w:color w:val="auto"/>
        </w:rPr>
      </w:pPr>
      <w:bookmarkStart w:id="39" w:name="_Toc2207"/>
      <w:r>
        <w:rPr>
          <w:color w:val="auto"/>
        </w:rPr>
        <w:t>5. 开标</w:t>
      </w:r>
      <w:bookmarkEnd w:id="39"/>
    </w:p>
    <w:p>
      <w:pPr>
        <w:pStyle w:val="7"/>
        <w:ind w:left="132"/>
        <w:rPr>
          <w:color w:val="auto"/>
        </w:rPr>
      </w:pPr>
      <w:r>
        <w:rPr>
          <w:color w:val="auto"/>
        </w:rPr>
        <w:t>5.1 开标时间和地点</w:t>
      </w:r>
    </w:p>
    <w:p>
      <w:pPr>
        <w:spacing w:after="398"/>
        <w:ind w:left="429"/>
        <w:rPr>
          <w:color w:val="auto"/>
        </w:rPr>
      </w:pPr>
      <w:r>
        <w:rPr>
          <w:rFonts w:hint="eastAsia"/>
          <w:color w:val="auto"/>
          <w:lang w:eastAsia="zh-CN"/>
        </w:rPr>
        <w:t>招议标</w:t>
      </w:r>
      <w:r>
        <w:rPr>
          <w:color w:val="auto"/>
        </w:rPr>
        <w:t>人在投标人须知前附表规定的投标截止时间（开标时间）进行开标。</w:t>
      </w:r>
    </w:p>
    <w:p>
      <w:pPr>
        <w:pStyle w:val="8"/>
        <w:spacing w:after="277"/>
        <w:ind w:left="132"/>
        <w:rPr>
          <w:color w:val="auto"/>
        </w:rPr>
      </w:pPr>
      <w:r>
        <w:rPr>
          <w:color w:val="auto"/>
        </w:rPr>
        <w:t>5.2 开标程序</w:t>
      </w:r>
    </w:p>
    <w:p>
      <w:pPr>
        <w:spacing w:after="0" w:line="240" w:lineRule="auto"/>
        <w:ind w:left="0" w:firstLine="0"/>
        <w:rPr>
          <w:color w:val="auto"/>
        </w:rPr>
      </w:pPr>
      <w:bookmarkStart w:id="52" w:name="_GoBack"/>
      <w:bookmarkEnd w:id="52"/>
      <w:r>
        <w:rPr>
          <w:rFonts w:hint="eastAsia"/>
          <w:color w:val="auto"/>
          <w:lang w:val="en-US" w:eastAsia="zh-CN"/>
        </w:rPr>
        <w:t xml:space="preserve"> 本次招投标实行</w:t>
      </w:r>
      <w:r>
        <w:rPr>
          <w:rFonts w:hint="eastAsia"/>
          <w:color w:val="auto"/>
          <w:lang w:eastAsia="zh-CN"/>
        </w:rPr>
        <w:t>现场开标</w:t>
      </w:r>
      <w:r>
        <w:rPr>
          <w:color w:val="auto"/>
        </w:rPr>
        <w:t>。</w:t>
      </w:r>
    </w:p>
    <w:p>
      <w:pPr>
        <w:numPr>
          <w:ilvl w:val="0"/>
          <w:numId w:val="6"/>
        </w:numPr>
        <w:spacing w:after="0" w:line="240" w:lineRule="auto"/>
        <w:ind w:left="0" w:firstLine="0"/>
        <w:rPr>
          <w:color w:val="auto"/>
        </w:rPr>
      </w:pPr>
      <w:r>
        <w:rPr>
          <w:rFonts w:hint="eastAsia"/>
          <w:color w:val="auto"/>
        </w:rPr>
        <w:t>宣布开标纪律；</w:t>
      </w:r>
    </w:p>
    <w:p>
      <w:pPr>
        <w:numPr>
          <w:ilvl w:val="0"/>
          <w:numId w:val="6"/>
        </w:numPr>
        <w:spacing w:after="0" w:line="240" w:lineRule="auto"/>
        <w:ind w:left="0" w:firstLine="0"/>
        <w:rPr>
          <w:color w:val="auto"/>
        </w:rPr>
      </w:pPr>
      <w:r>
        <w:rPr>
          <w:color w:val="auto"/>
        </w:rPr>
        <w:t>宣布开标人、监标人等有关人员；</w:t>
      </w:r>
    </w:p>
    <w:p>
      <w:pPr>
        <w:numPr>
          <w:ilvl w:val="0"/>
          <w:numId w:val="6"/>
        </w:numPr>
        <w:spacing w:after="0" w:line="240" w:lineRule="auto"/>
        <w:ind w:left="0" w:firstLine="0"/>
        <w:rPr>
          <w:color w:val="auto"/>
        </w:rPr>
      </w:pPr>
      <w:r>
        <w:rPr>
          <w:color w:val="auto"/>
        </w:rPr>
        <w:t>公布</w:t>
      </w:r>
      <w:r>
        <w:rPr>
          <w:rFonts w:hint="eastAsia"/>
          <w:color w:val="auto"/>
        </w:rPr>
        <w:t>投标人</w:t>
      </w:r>
      <w:r>
        <w:rPr>
          <w:color w:val="auto"/>
        </w:rPr>
        <w:t>投标文件递交时间</w:t>
      </w:r>
      <w:r>
        <w:rPr>
          <w:rFonts w:hint="eastAsia"/>
          <w:color w:val="auto"/>
          <w:lang w:eastAsia="zh-CN"/>
        </w:rPr>
        <w:t>；</w:t>
      </w:r>
    </w:p>
    <w:p>
      <w:pPr>
        <w:numPr>
          <w:ilvl w:val="0"/>
          <w:numId w:val="6"/>
        </w:numPr>
        <w:spacing w:after="0" w:line="240" w:lineRule="auto"/>
        <w:ind w:left="0" w:firstLine="0"/>
        <w:rPr>
          <w:color w:val="auto"/>
        </w:rPr>
      </w:pPr>
      <w:r>
        <w:rPr>
          <w:rFonts w:hint="eastAsia"/>
          <w:color w:val="auto"/>
          <w:lang w:eastAsia="zh-CN"/>
        </w:rPr>
        <w:t>评委现场评分</w:t>
      </w:r>
      <w:r>
        <w:rPr>
          <w:color w:val="auto"/>
        </w:rPr>
        <w:t>；</w:t>
      </w:r>
    </w:p>
    <w:p>
      <w:pPr>
        <w:numPr>
          <w:ilvl w:val="0"/>
          <w:numId w:val="6"/>
        </w:numPr>
        <w:spacing w:after="0" w:line="240" w:lineRule="auto"/>
        <w:ind w:left="0" w:firstLine="0"/>
        <w:rPr>
          <w:color w:val="auto"/>
        </w:rPr>
      </w:pPr>
      <w:r>
        <w:rPr>
          <w:color w:val="auto"/>
        </w:rPr>
        <w:t>生成开标记录表，开标结束。</w:t>
      </w:r>
    </w:p>
    <w:p>
      <w:pPr>
        <w:pStyle w:val="7"/>
        <w:ind w:left="132"/>
        <w:rPr>
          <w:color w:val="auto"/>
        </w:rPr>
      </w:pPr>
      <w:r>
        <w:rPr>
          <w:color w:val="auto"/>
        </w:rPr>
        <w:t>5.3 开标异议</w:t>
      </w:r>
    </w:p>
    <w:p>
      <w:pPr>
        <w:keepNext w:val="0"/>
        <w:keepLines w:val="0"/>
        <w:pageBreakBefore w:val="0"/>
        <w:widowControl/>
        <w:kinsoku/>
        <w:wordWrap/>
        <w:overflowPunct/>
        <w:topLinePunct w:val="0"/>
        <w:autoSpaceDE/>
        <w:autoSpaceDN/>
        <w:bidi w:val="0"/>
        <w:adjustRightInd/>
        <w:snapToGrid/>
        <w:spacing w:after="0" w:line="408" w:lineRule="auto"/>
        <w:ind w:left="-17" w:firstLine="357"/>
        <w:textAlignment w:val="auto"/>
        <w:rPr>
          <w:color w:val="auto"/>
        </w:rPr>
      </w:pPr>
      <w:r>
        <w:rPr>
          <w:color w:val="auto"/>
        </w:rPr>
        <w:t>投标人对开标有异议的，应当现场提出，</w:t>
      </w:r>
      <w:r>
        <w:rPr>
          <w:rFonts w:hint="eastAsia"/>
          <w:color w:val="auto"/>
          <w:lang w:eastAsia="zh-CN"/>
        </w:rPr>
        <w:t>招议标</w:t>
      </w:r>
      <w:r>
        <w:rPr>
          <w:color w:val="auto"/>
        </w:rPr>
        <w:t>人作出答复，并制作记录。未提出异议，视同认可。</w:t>
      </w:r>
      <w:bookmarkStart w:id="40" w:name="_Toc2703"/>
    </w:p>
    <w:p>
      <w:pPr>
        <w:keepNext w:val="0"/>
        <w:keepLines w:val="0"/>
        <w:pageBreakBefore w:val="0"/>
        <w:widowControl/>
        <w:kinsoku/>
        <w:wordWrap/>
        <w:overflowPunct/>
        <w:topLinePunct w:val="0"/>
        <w:autoSpaceDE/>
        <w:autoSpaceDN/>
        <w:bidi w:val="0"/>
        <w:adjustRightInd/>
        <w:snapToGrid/>
        <w:spacing w:after="0" w:line="408" w:lineRule="auto"/>
        <w:textAlignment w:val="auto"/>
        <w:rPr>
          <w:rFonts w:hint="eastAsia" w:ascii="黑体" w:hAnsi="黑体" w:eastAsia="黑体" w:cs="黑体"/>
          <w:color w:val="auto"/>
          <w:sz w:val="28"/>
          <w:szCs w:val="28"/>
        </w:rPr>
      </w:pPr>
      <w:r>
        <w:rPr>
          <w:rFonts w:hint="eastAsia" w:ascii="黑体" w:hAnsi="黑体" w:eastAsia="黑体" w:cs="黑体"/>
          <w:color w:val="auto"/>
          <w:sz w:val="28"/>
          <w:szCs w:val="28"/>
        </w:rPr>
        <w:t>6. 评标</w:t>
      </w:r>
      <w:bookmarkEnd w:id="40"/>
    </w:p>
    <w:p>
      <w:pPr>
        <w:pStyle w:val="7"/>
        <w:spacing w:after="277"/>
        <w:ind w:left="132"/>
        <w:rPr>
          <w:color w:val="auto"/>
        </w:rPr>
      </w:pPr>
      <w:r>
        <w:rPr>
          <w:color w:val="auto"/>
        </w:rPr>
        <w:t>6.1 评标委员会</w:t>
      </w:r>
    </w:p>
    <w:p>
      <w:pPr>
        <w:spacing w:line="354" w:lineRule="auto"/>
        <w:ind w:left="-15" w:firstLine="420"/>
        <w:rPr>
          <w:color w:val="auto"/>
        </w:rPr>
      </w:pPr>
      <w:r>
        <w:rPr>
          <w:color w:val="auto"/>
        </w:rPr>
        <w:t>6.1.1评标由</w:t>
      </w:r>
      <w:r>
        <w:rPr>
          <w:rFonts w:hint="eastAsia"/>
          <w:color w:val="auto"/>
          <w:lang w:eastAsia="zh-CN"/>
        </w:rPr>
        <w:t>招议标</w:t>
      </w:r>
      <w:r>
        <w:rPr>
          <w:color w:val="auto"/>
        </w:rPr>
        <w:t>人依法组建的评标委员会负责。评标委员会由</w:t>
      </w:r>
      <w:r>
        <w:rPr>
          <w:rFonts w:hint="eastAsia"/>
          <w:color w:val="auto"/>
          <w:lang w:eastAsia="zh-CN"/>
        </w:rPr>
        <w:t>招议标</w:t>
      </w:r>
      <w:r>
        <w:rPr>
          <w:color w:val="auto"/>
        </w:rPr>
        <w:t>人熟悉相关业务的代表组成。</w:t>
      </w:r>
    </w:p>
    <w:p>
      <w:pPr>
        <w:spacing w:after="98"/>
        <w:ind w:left="429"/>
        <w:rPr>
          <w:color w:val="auto"/>
        </w:rPr>
      </w:pPr>
      <w:r>
        <w:rPr>
          <w:color w:val="auto"/>
        </w:rPr>
        <w:t>6.1.2评标委员会成员有下列情形之一的，应当回避：</w:t>
      </w:r>
    </w:p>
    <w:p>
      <w:pPr>
        <w:numPr>
          <w:ilvl w:val="0"/>
          <w:numId w:val="7"/>
        </w:numPr>
        <w:spacing w:after="98"/>
        <w:ind w:firstLine="420"/>
        <w:rPr>
          <w:color w:val="auto"/>
        </w:rPr>
      </w:pPr>
      <w:r>
        <w:rPr>
          <w:color w:val="auto"/>
        </w:rPr>
        <w:t>投标人或投标人主要负责人的近亲属；</w:t>
      </w:r>
    </w:p>
    <w:p>
      <w:pPr>
        <w:numPr>
          <w:ilvl w:val="0"/>
          <w:numId w:val="7"/>
        </w:numPr>
        <w:spacing w:after="95"/>
        <w:ind w:firstLine="420"/>
        <w:rPr>
          <w:color w:val="auto"/>
        </w:rPr>
      </w:pPr>
      <w:r>
        <w:rPr>
          <w:color w:val="auto"/>
        </w:rPr>
        <w:t>项目主管部门或者行政监督部门的人员；</w:t>
      </w:r>
    </w:p>
    <w:p>
      <w:pPr>
        <w:numPr>
          <w:ilvl w:val="0"/>
          <w:numId w:val="7"/>
        </w:numPr>
        <w:spacing w:after="98"/>
        <w:ind w:firstLine="420"/>
        <w:rPr>
          <w:color w:val="auto"/>
        </w:rPr>
      </w:pPr>
      <w:r>
        <w:rPr>
          <w:color w:val="auto"/>
        </w:rPr>
        <w:t>与投标人有经济利益关系，可能影响对投标公正评审的；</w:t>
      </w:r>
    </w:p>
    <w:p>
      <w:pPr>
        <w:numPr>
          <w:ilvl w:val="0"/>
          <w:numId w:val="7"/>
        </w:numPr>
        <w:spacing w:line="354" w:lineRule="auto"/>
        <w:ind w:firstLine="420"/>
        <w:rPr>
          <w:color w:val="auto"/>
        </w:rPr>
      </w:pPr>
      <w:r>
        <w:rPr>
          <w:color w:val="auto"/>
        </w:rPr>
        <w:t>曾因在</w:t>
      </w:r>
      <w:r>
        <w:rPr>
          <w:rFonts w:hint="eastAsia"/>
          <w:color w:val="auto"/>
          <w:lang w:eastAsia="zh-CN"/>
        </w:rPr>
        <w:t>招议标</w:t>
      </w:r>
      <w:r>
        <w:rPr>
          <w:color w:val="auto"/>
        </w:rPr>
        <w:t>、评标以及其他与</w:t>
      </w:r>
      <w:r>
        <w:rPr>
          <w:rFonts w:hint="eastAsia"/>
          <w:color w:val="auto"/>
          <w:lang w:eastAsia="zh-CN"/>
        </w:rPr>
        <w:t>招议标</w:t>
      </w:r>
      <w:r>
        <w:rPr>
          <w:color w:val="auto"/>
        </w:rPr>
        <w:t>投标有关活动中从事违法行为而受过行政处罚或刑事处罚的；</w:t>
      </w:r>
    </w:p>
    <w:p>
      <w:pPr>
        <w:numPr>
          <w:ilvl w:val="0"/>
          <w:numId w:val="7"/>
        </w:numPr>
        <w:spacing w:after="98"/>
        <w:ind w:firstLine="420"/>
        <w:rPr>
          <w:color w:val="auto"/>
        </w:rPr>
      </w:pPr>
      <w:r>
        <w:rPr>
          <w:color w:val="auto"/>
        </w:rPr>
        <w:t>与投标人有其他利害关系。</w:t>
      </w:r>
    </w:p>
    <w:p>
      <w:pPr>
        <w:spacing w:after="5" w:line="353" w:lineRule="auto"/>
        <w:ind w:left="-15" w:right="194" w:firstLine="410"/>
        <w:jc w:val="both"/>
        <w:rPr>
          <w:color w:val="auto"/>
        </w:rPr>
      </w:pPr>
      <w:r>
        <w:rPr>
          <w:color w:val="auto"/>
        </w:rPr>
        <w:t>6.1.3评标过程中，评标委员会成员有回避事由、擅离职守或者因健康等原因不能继续评标的，</w:t>
      </w:r>
      <w:r>
        <w:rPr>
          <w:rFonts w:hint="eastAsia"/>
          <w:color w:val="auto"/>
          <w:lang w:eastAsia="zh-CN"/>
        </w:rPr>
        <w:t>招议标</w:t>
      </w:r>
      <w:r>
        <w:rPr>
          <w:color w:val="auto"/>
        </w:rPr>
        <w:t>人有权更换。被更换的评标委员会成员作出的评审结论无效，由更换后的评标委员会成员重新进行评审。</w:t>
      </w:r>
    </w:p>
    <w:p>
      <w:pPr>
        <w:pStyle w:val="7"/>
        <w:ind w:left="132"/>
        <w:rPr>
          <w:color w:val="auto"/>
        </w:rPr>
      </w:pPr>
      <w:r>
        <w:rPr>
          <w:color w:val="auto"/>
        </w:rPr>
        <w:t>6.2 评标原则</w:t>
      </w:r>
    </w:p>
    <w:p>
      <w:pPr>
        <w:spacing w:after="398"/>
        <w:ind w:left="429"/>
        <w:rPr>
          <w:color w:val="auto"/>
        </w:rPr>
      </w:pPr>
      <w:r>
        <w:rPr>
          <w:color w:val="auto"/>
        </w:rPr>
        <w:t>评标活动遵循公平、公正、科学和择优的原则。</w:t>
      </w:r>
    </w:p>
    <w:p>
      <w:pPr>
        <w:pStyle w:val="7"/>
        <w:spacing w:after="277"/>
        <w:ind w:left="132"/>
        <w:rPr>
          <w:color w:val="auto"/>
        </w:rPr>
      </w:pPr>
      <w:r>
        <w:rPr>
          <w:color w:val="auto"/>
        </w:rPr>
        <w:t>6.3 评标</w:t>
      </w:r>
    </w:p>
    <w:p>
      <w:pPr>
        <w:spacing w:line="354" w:lineRule="auto"/>
        <w:ind w:left="-15" w:firstLine="420"/>
        <w:rPr>
          <w:color w:val="auto"/>
        </w:rPr>
      </w:pPr>
      <w:r>
        <w:rPr>
          <w:color w:val="auto"/>
        </w:rPr>
        <w:t>6.3.1评标委员会按照</w:t>
      </w:r>
      <w:r>
        <w:rPr>
          <w:rFonts w:hint="eastAsia"/>
          <w:color w:val="auto"/>
          <w:lang w:eastAsia="zh-CN"/>
        </w:rPr>
        <w:t>评分表</w:t>
      </w:r>
      <w:r>
        <w:rPr>
          <w:color w:val="auto"/>
        </w:rPr>
        <w:t>对投标文件</w:t>
      </w:r>
      <w:r>
        <w:rPr>
          <w:rFonts w:hint="eastAsia"/>
          <w:color w:val="auto"/>
          <w:lang w:eastAsia="zh-CN"/>
        </w:rPr>
        <w:t>及投标人</w:t>
      </w:r>
      <w:r>
        <w:rPr>
          <w:color w:val="auto"/>
        </w:rPr>
        <w:t>进行评审。</w:t>
      </w:r>
    </w:p>
    <w:p>
      <w:pPr>
        <w:spacing w:after="293" w:line="352" w:lineRule="auto"/>
        <w:ind w:left="-15" w:firstLine="420"/>
        <w:rPr>
          <w:color w:val="auto"/>
        </w:rPr>
      </w:pPr>
      <w:r>
        <w:rPr>
          <w:color w:val="auto"/>
        </w:rPr>
        <w:t>6.3.2评标完成后，评标委员会应当向</w:t>
      </w:r>
      <w:r>
        <w:rPr>
          <w:rFonts w:hint="eastAsia"/>
          <w:color w:val="auto"/>
          <w:lang w:eastAsia="zh-CN"/>
        </w:rPr>
        <w:t>招议标</w:t>
      </w:r>
      <w:r>
        <w:rPr>
          <w:color w:val="auto"/>
        </w:rPr>
        <w:t>人提交书面评标报告和中标候选人名单。评标委员会推荐中标候选人的人数见投标人须知前附表。</w:t>
      </w:r>
    </w:p>
    <w:p>
      <w:pPr>
        <w:pStyle w:val="4"/>
        <w:ind w:left="-5" w:right="0"/>
        <w:rPr>
          <w:color w:val="auto"/>
        </w:rPr>
      </w:pPr>
      <w:bookmarkStart w:id="41" w:name="_Toc13493"/>
      <w:r>
        <w:rPr>
          <w:color w:val="auto"/>
        </w:rPr>
        <w:t>7. 合同授予</w:t>
      </w:r>
      <w:bookmarkEnd w:id="41"/>
    </w:p>
    <w:p>
      <w:pPr>
        <w:pStyle w:val="7"/>
        <w:ind w:left="132"/>
        <w:rPr>
          <w:color w:val="auto"/>
        </w:rPr>
      </w:pPr>
      <w:r>
        <w:rPr>
          <w:color w:val="auto"/>
        </w:rPr>
        <w:t>7.1 中标候选人公示</w:t>
      </w:r>
    </w:p>
    <w:p>
      <w:pPr>
        <w:spacing w:after="240" w:line="407" w:lineRule="auto"/>
        <w:ind w:left="-15" w:firstLine="420"/>
        <w:rPr>
          <w:color w:val="auto"/>
        </w:rPr>
      </w:pPr>
      <w:r>
        <w:rPr>
          <w:rFonts w:hint="eastAsia"/>
          <w:color w:val="auto"/>
          <w:lang w:eastAsia="zh-CN"/>
        </w:rPr>
        <w:t>招议标</w:t>
      </w:r>
      <w:r>
        <w:rPr>
          <w:color w:val="auto"/>
        </w:rPr>
        <w:t>人在收到评标报告之日起3日内，按照投标人须知前附表规定的公示媒介和期限公示中标候选人，公示期不得少于3日。</w:t>
      </w:r>
    </w:p>
    <w:p>
      <w:pPr>
        <w:pStyle w:val="7"/>
        <w:ind w:left="132"/>
        <w:rPr>
          <w:color w:val="auto"/>
        </w:rPr>
      </w:pPr>
      <w:r>
        <w:rPr>
          <w:color w:val="auto"/>
        </w:rPr>
        <w:t>7.2 评标结果异议</w:t>
      </w:r>
    </w:p>
    <w:p>
      <w:pPr>
        <w:spacing w:after="240" w:line="407" w:lineRule="auto"/>
        <w:ind w:left="-15" w:firstLine="420"/>
        <w:rPr>
          <w:color w:val="auto"/>
        </w:rPr>
      </w:pPr>
      <w:r>
        <w:rPr>
          <w:color w:val="auto"/>
        </w:rPr>
        <w:t>投标人或者其他利害关系人对评标结果有异议的，应当在中标候选人公示期间提出。</w:t>
      </w:r>
      <w:r>
        <w:rPr>
          <w:rFonts w:hint="eastAsia"/>
          <w:color w:val="auto"/>
          <w:lang w:eastAsia="zh-CN"/>
        </w:rPr>
        <w:t>招议标</w:t>
      </w:r>
      <w:r>
        <w:rPr>
          <w:color w:val="auto"/>
        </w:rPr>
        <w:t>人将在收到异议之日起3日内作出答复；作出答复前，将暂停</w:t>
      </w:r>
      <w:r>
        <w:rPr>
          <w:rFonts w:hint="eastAsia"/>
          <w:color w:val="auto"/>
          <w:lang w:eastAsia="zh-CN"/>
        </w:rPr>
        <w:t>招议标</w:t>
      </w:r>
      <w:r>
        <w:rPr>
          <w:color w:val="auto"/>
        </w:rPr>
        <w:t>投标活动。</w:t>
      </w:r>
    </w:p>
    <w:p>
      <w:pPr>
        <w:pStyle w:val="7"/>
        <w:ind w:left="132"/>
        <w:rPr>
          <w:color w:val="auto"/>
        </w:rPr>
      </w:pPr>
      <w:r>
        <w:rPr>
          <w:color w:val="auto"/>
        </w:rPr>
        <w:t>7.3 中标候选人履约能力审查</w:t>
      </w:r>
    </w:p>
    <w:p>
      <w:pPr>
        <w:spacing w:after="240" w:line="407" w:lineRule="auto"/>
        <w:ind w:left="-15" w:firstLine="420"/>
        <w:rPr>
          <w:color w:val="auto"/>
        </w:rPr>
      </w:pPr>
      <w:r>
        <w:rPr>
          <w:color w:val="auto"/>
        </w:rPr>
        <w:t>中标候选人发生较大变化或存在违法行为，</w:t>
      </w:r>
      <w:r>
        <w:rPr>
          <w:rFonts w:hint="eastAsia"/>
          <w:color w:val="auto"/>
          <w:lang w:eastAsia="zh-CN"/>
        </w:rPr>
        <w:t>招议标</w:t>
      </w:r>
      <w:r>
        <w:rPr>
          <w:color w:val="auto"/>
        </w:rPr>
        <w:t>人认为可能影响其履约能力的，将在发出中标通知书前提请原评标委员会按照</w:t>
      </w:r>
      <w:r>
        <w:rPr>
          <w:rFonts w:hint="eastAsia"/>
          <w:color w:val="auto"/>
          <w:lang w:eastAsia="zh-CN"/>
        </w:rPr>
        <w:t>招议标</w:t>
      </w:r>
      <w:r>
        <w:rPr>
          <w:color w:val="auto"/>
        </w:rPr>
        <w:t>文件规定的标准和方法进行审查确认。</w:t>
      </w:r>
    </w:p>
    <w:p>
      <w:pPr>
        <w:pStyle w:val="7"/>
        <w:ind w:left="132"/>
        <w:rPr>
          <w:color w:val="auto"/>
        </w:rPr>
      </w:pPr>
      <w:r>
        <w:rPr>
          <w:color w:val="auto"/>
        </w:rPr>
        <w:t>7.4 定标</w:t>
      </w:r>
    </w:p>
    <w:p>
      <w:pPr>
        <w:spacing w:after="0" w:line="240" w:lineRule="auto"/>
        <w:ind w:left="0" w:firstLine="420" w:firstLineChars="200"/>
        <w:rPr>
          <w:color w:val="auto"/>
        </w:rPr>
      </w:pPr>
      <w:r>
        <w:rPr>
          <w:color w:val="auto"/>
        </w:rPr>
        <w:t>按照投标人须知前附表的规定，</w:t>
      </w:r>
      <w:r>
        <w:rPr>
          <w:rFonts w:hint="eastAsia"/>
          <w:color w:val="auto"/>
          <w:lang w:eastAsia="zh-CN"/>
        </w:rPr>
        <w:t>招议标</w:t>
      </w:r>
      <w:r>
        <w:rPr>
          <w:color w:val="auto"/>
        </w:rPr>
        <w:t>人或</w:t>
      </w:r>
      <w:r>
        <w:rPr>
          <w:rFonts w:hint="eastAsia"/>
          <w:color w:val="auto"/>
          <w:lang w:eastAsia="zh-CN"/>
        </w:rPr>
        <w:t>招议标</w:t>
      </w:r>
      <w:r>
        <w:rPr>
          <w:color w:val="auto"/>
        </w:rPr>
        <w:t>人授权的</w:t>
      </w:r>
      <w:r>
        <w:rPr>
          <w:rFonts w:hint="eastAsia"/>
          <w:color w:val="auto"/>
        </w:rPr>
        <w:t>定标小组</w:t>
      </w:r>
      <w:r>
        <w:rPr>
          <w:color w:val="auto"/>
        </w:rPr>
        <w:t>依法确定中标人。</w:t>
      </w:r>
    </w:p>
    <w:p>
      <w:pPr>
        <w:pStyle w:val="7"/>
        <w:ind w:left="132"/>
        <w:rPr>
          <w:color w:val="auto"/>
        </w:rPr>
      </w:pPr>
      <w:r>
        <w:rPr>
          <w:color w:val="auto"/>
        </w:rPr>
        <w:t>7.5 中标通知</w:t>
      </w:r>
    </w:p>
    <w:p>
      <w:pPr>
        <w:spacing w:line="353" w:lineRule="auto"/>
        <w:ind w:left="-15" w:firstLine="420"/>
        <w:rPr>
          <w:color w:val="auto"/>
        </w:rPr>
      </w:pPr>
      <w:r>
        <w:rPr>
          <w:rFonts w:hint="eastAsia"/>
          <w:color w:val="auto"/>
          <w:lang w:eastAsia="zh-CN"/>
        </w:rPr>
        <w:t>招议标</w:t>
      </w:r>
      <w:r>
        <w:rPr>
          <w:color w:val="auto"/>
        </w:rPr>
        <w:t>人以书面形式向中标人发出中标通知书，同时将中标结果通知未中标的投标人。</w:t>
      </w:r>
    </w:p>
    <w:p>
      <w:pPr>
        <w:pStyle w:val="7"/>
        <w:ind w:left="132"/>
        <w:rPr>
          <w:color w:val="auto"/>
        </w:rPr>
      </w:pPr>
      <w:r>
        <w:rPr>
          <w:color w:val="auto"/>
        </w:rPr>
        <w:t>7.</w:t>
      </w:r>
      <w:r>
        <w:rPr>
          <w:rFonts w:hint="eastAsia"/>
          <w:color w:val="auto"/>
          <w:lang w:val="en-US" w:eastAsia="zh-CN"/>
        </w:rPr>
        <w:t>6</w:t>
      </w:r>
      <w:r>
        <w:rPr>
          <w:color w:val="auto"/>
        </w:rPr>
        <w:t xml:space="preserve"> 签订合同</w:t>
      </w:r>
    </w:p>
    <w:p>
      <w:pPr>
        <w:spacing w:line="406" w:lineRule="auto"/>
        <w:ind w:left="-15" w:firstLine="420"/>
        <w:rPr>
          <w:color w:val="auto"/>
        </w:rPr>
      </w:pPr>
      <w:r>
        <w:rPr>
          <w:color w:val="auto"/>
        </w:rPr>
        <w:t>7.</w:t>
      </w:r>
      <w:r>
        <w:rPr>
          <w:rFonts w:hint="eastAsia"/>
          <w:color w:val="auto"/>
          <w:lang w:val="en-US" w:eastAsia="zh-CN"/>
        </w:rPr>
        <w:t>6</w:t>
      </w:r>
      <w:r>
        <w:rPr>
          <w:color w:val="auto"/>
        </w:rPr>
        <w:t>.1</w:t>
      </w:r>
      <w:r>
        <w:rPr>
          <w:rFonts w:hint="eastAsia"/>
          <w:color w:val="auto"/>
          <w:lang w:eastAsia="zh-CN"/>
        </w:rPr>
        <w:t>招议标</w:t>
      </w:r>
      <w:r>
        <w:rPr>
          <w:color w:val="auto"/>
        </w:rPr>
        <w:t>人和中标人应当在中标通知书发出之日起</w:t>
      </w:r>
      <w:r>
        <w:rPr>
          <w:rFonts w:hint="eastAsia"/>
          <w:color w:val="auto"/>
          <w:u w:val="single"/>
        </w:rPr>
        <w:t>7</w:t>
      </w:r>
      <w:r>
        <w:rPr>
          <w:color w:val="auto"/>
        </w:rPr>
        <w:t>日内，根据</w:t>
      </w:r>
      <w:r>
        <w:rPr>
          <w:rFonts w:hint="eastAsia"/>
          <w:color w:val="auto"/>
          <w:lang w:eastAsia="zh-CN"/>
        </w:rPr>
        <w:t>招议标</w:t>
      </w:r>
      <w:r>
        <w:rPr>
          <w:color w:val="auto"/>
        </w:rPr>
        <w:t>文件和中标人的投标文件订立书面合同。中标人无正当理由拒签合同，在签订合同时向</w:t>
      </w:r>
      <w:r>
        <w:rPr>
          <w:rFonts w:hint="eastAsia"/>
          <w:color w:val="auto"/>
          <w:lang w:eastAsia="zh-CN"/>
        </w:rPr>
        <w:t>招议标</w:t>
      </w:r>
      <w:r>
        <w:rPr>
          <w:color w:val="auto"/>
        </w:rPr>
        <w:t>人提出附加条件，</w:t>
      </w:r>
      <w:r>
        <w:rPr>
          <w:rFonts w:hint="eastAsia"/>
          <w:color w:val="auto"/>
          <w:lang w:eastAsia="zh-CN"/>
        </w:rPr>
        <w:t>招议标</w:t>
      </w:r>
      <w:r>
        <w:rPr>
          <w:color w:val="auto"/>
        </w:rPr>
        <w:t>人取消其中标资格；给</w:t>
      </w:r>
      <w:r>
        <w:rPr>
          <w:rFonts w:hint="eastAsia"/>
          <w:color w:val="auto"/>
          <w:lang w:eastAsia="zh-CN"/>
        </w:rPr>
        <w:t>招议标</w:t>
      </w:r>
      <w:r>
        <w:rPr>
          <w:color w:val="auto"/>
        </w:rPr>
        <w:t>人造成的损失的，中标人还应当予以赔偿。</w:t>
      </w:r>
    </w:p>
    <w:p>
      <w:pPr>
        <w:spacing w:line="407" w:lineRule="auto"/>
        <w:ind w:left="-15" w:firstLine="420"/>
        <w:rPr>
          <w:color w:val="auto"/>
        </w:rPr>
      </w:pPr>
      <w:r>
        <w:rPr>
          <w:color w:val="auto"/>
        </w:rPr>
        <w:t>7.</w:t>
      </w:r>
      <w:r>
        <w:rPr>
          <w:rFonts w:hint="eastAsia"/>
          <w:color w:val="auto"/>
          <w:lang w:val="en-US" w:eastAsia="zh-CN"/>
        </w:rPr>
        <w:t>6</w:t>
      </w:r>
      <w:r>
        <w:rPr>
          <w:color w:val="auto"/>
        </w:rPr>
        <w:t>.2发出中标通知书后，</w:t>
      </w:r>
      <w:r>
        <w:rPr>
          <w:rFonts w:hint="eastAsia"/>
          <w:color w:val="auto"/>
          <w:lang w:eastAsia="zh-CN"/>
        </w:rPr>
        <w:t>招议标</w:t>
      </w:r>
      <w:r>
        <w:rPr>
          <w:color w:val="auto"/>
        </w:rPr>
        <w:t>人无正当理由拒签合同，或者在签订合同时向中标人提出附加条件，给中标人造成损失的，应当赔偿损失。</w:t>
      </w:r>
    </w:p>
    <w:p>
      <w:pPr>
        <w:spacing w:after="245" w:line="405" w:lineRule="auto"/>
        <w:ind w:left="-15" w:firstLine="420"/>
        <w:rPr>
          <w:color w:val="auto"/>
        </w:rPr>
      </w:pPr>
      <w:r>
        <w:rPr>
          <w:color w:val="auto"/>
        </w:rPr>
        <w:t>7.</w:t>
      </w:r>
      <w:r>
        <w:rPr>
          <w:rFonts w:hint="eastAsia"/>
          <w:color w:val="auto"/>
          <w:lang w:val="en-US" w:eastAsia="zh-CN"/>
        </w:rPr>
        <w:t>6</w:t>
      </w:r>
      <w:r>
        <w:rPr>
          <w:color w:val="auto"/>
        </w:rPr>
        <w:t>.3联合体中标的，联合体各方应当共同与</w:t>
      </w:r>
      <w:r>
        <w:rPr>
          <w:rFonts w:hint="eastAsia"/>
          <w:color w:val="auto"/>
          <w:lang w:eastAsia="zh-CN"/>
        </w:rPr>
        <w:t>招议标</w:t>
      </w:r>
      <w:r>
        <w:rPr>
          <w:color w:val="auto"/>
        </w:rPr>
        <w:t>人签订合同，就中标项目向</w:t>
      </w:r>
      <w:r>
        <w:rPr>
          <w:rFonts w:hint="eastAsia"/>
          <w:color w:val="auto"/>
          <w:lang w:eastAsia="zh-CN"/>
        </w:rPr>
        <w:t>招议标</w:t>
      </w:r>
      <w:r>
        <w:rPr>
          <w:color w:val="auto"/>
        </w:rPr>
        <w:t>人承担连带责任。</w:t>
      </w:r>
    </w:p>
    <w:p>
      <w:pPr>
        <w:pStyle w:val="4"/>
        <w:spacing w:after="242"/>
        <w:ind w:left="-5" w:right="0"/>
        <w:rPr>
          <w:color w:val="auto"/>
        </w:rPr>
      </w:pPr>
      <w:bookmarkStart w:id="42" w:name="_Toc1557"/>
      <w:r>
        <w:rPr>
          <w:color w:val="auto"/>
        </w:rPr>
        <w:t>8.纪律和监督</w:t>
      </w:r>
      <w:bookmarkEnd w:id="42"/>
    </w:p>
    <w:p>
      <w:pPr>
        <w:pStyle w:val="7"/>
        <w:spacing w:after="277"/>
        <w:ind w:left="132"/>
        <w:rPr>
          <w:color w:val="auto"/>
        </w:rPr>
      </w:pPr>
      <w:r>
        <w:rPr>
          <w:color w:val="auto"/>
        </w:rPr>
        <w:t>8.1 对</w:t>
      </w:r>
      <w:r>
        <w:rPr>
          <w:rFonts w:hint="eastAsia"/>
          <w:color w:val="auto"/>
          <w:lang w:eastAsia="zh-CN"/>
        </w:rPr>
        <w:t>招议标</w:t>
      </w:r>
      <w:r>
        <w:rPr>
          <w:color w:val="auto"/>
        </w:rPr>
        <w:t>人的纪律要求</w:t>
      </w:r>
    </w:p>
    <w:p>
      <w:pPr>
        <w:spacing w:line="354" w:lineRule="auto"/>
        <w:ind w:left="-15" w:firstLine="420"/>
        <w:rPr>
          <w:color w:val="auto"/>
        </w:rPr>
      </w:pPr>
      <w:r>
        <w:rPr>
          <w:rFonts w:hint="eastAsia"/>
          <w:color w:val="auto"/>
          <w:lang w:eastAsia="zh-CN"/>
        </w:rPr>
        <w:t>招议标</w:t>
      </w:r>
      <w:r>
        <w:rPr>
          <w:color w:val="auto"/>
        </w:rPr>
        <w:t>人不得泄漏</w:t>
      </w:r>
      <w:r>
        <w:rPr>
          <w:rFonts w:hint="eastAsia"/>
          <w:color w:val="auto"/>
          <w:lang w:eastAsia="zh-CN"/>
        </w:rPr>
        <w:t>招议标</w:t>
      </w:r>
      <w:r>
        <w:rPr>
          <w:color w:val="auto"/>
        </w:rPr>
        <w:t>投标活动中应当保密的情况和资料，不得与投标人串通损害国家利益、社会公共利益或者他人合法权益。</w:t>
      </w:r>
    </w:p>
    <w:p>
      <w:pPr>
        <w:spacing w:after="95"/>
        <w:ind w:left="429"/>
        <w:rPr>
          <w:color w:val="auto"/>
        </w:rPr>
      </w:pPr>
      <w:r>
        <w:rPr>
          <w:color w:val="auto"/>
        </w:rPr>
        <w:t>下列行为均属</w:t>
      </w:r>
      <w:r>
        <w:rPr>
          <w:rFonts w:hint="eastAsia"/>
          <w:color w:val="auto"/>
          <w:lang w:eastAsia="zh-CN"/>
        </w:rPr>
        <w:t>招议标</w:t>
      </w:r>
      <w:r>
        <w:rPr>
          <w:color w:val="auto"/>
        </w:rPr>
        <w:t>人与投标人串通投标：</w:t>
      </w:r>
    </w:p>
    <w:p>
      <w:pPr>
        <w:numPr>
          <w:ilvl w:val="0"/>
          <w:numId w:val="8"/>
        </w:numPr>
        <w:spacing w:after="98"/>
        <w:ind w:hanging="629"/>
        <w:rPr>
          <w:color w:val="auto"/>
        </w:rPr>
      </w:pPr>
      <w:r>
        <w:rPr>
          <w:rFonts w:hint="eastAsia"/>
          <w:color w:val="auto"/>
          <w:lang w:eastAsia="zh-CN"/>
        </w:rPr>
        <w:t>招议标</w:t>
      </w:r>
      <w:r>
        <w:rPr>
          <w:color w:val="auto"/>
        </w:rPr>
        <w:t>人在开标前开启投标文件并将有关信息泄露给其他投标人；</w:t>
      </w:r>
    </w:p>
    <w:p>
      <w:pPr>
        <w:numPr>
          <w:ilvl w:val="0"/>
          <w:numId w:val="8"/>
        </w:numPr>
        <w:spacing w:after="98"/>
        <w:ind w:hanging="629"/>
        <w:rPr>
          <w:color w:val="auto"/>
        </w:rPr>
      </w:pPr>
      <w:r>
        <w:rPr>
          <w:rFonts w:hint="eastAsia"/>
          <w:color w:val="auto"/>
          <w:lang w:eastAsia="zh-CN"/>
        </w:rPr>
        <w:t>招议标</w:t>
      </w:r>
      <w:r>
        <w:rPr>
          <w:color w:val="auto"/>
        </w:rPr>
        <w:t>人直接或者间接向投标人泄露标底、评标委员会成员等信息；</w:t>
      </w:r>
    </w:p>
    <w:p>
      <w:pPr>
        <w:numPr>
          <w:ilvl w:val="0"/>
          <w:numId w:val="8"/>
        </w:numPr>
        <w:spacing w:after="95"/>
        <w:ind w:hanging="629"/>
        <w:rPr>
          <w:color w:val="auto"/>
        </w:rPr>
      </w:pPr>
      <w:r>
        <w:rPr>
          <w:rFonts w:hint="eastAsia"/>
          <w:color w:val="auto"/>
          <w:lang w:eastAsia="zh-CN"/>
        </w:rPr>
        <w:t>招议标</w:t>
      </w:r>
      <w:r>
        <w:rPr>
          <w:color w:val="auto"/>
        </w:rPr>
        <w:t>人明示或者暗示投标人压低或者抬高投标报价；</w:t>
      </w:r>
    </w:p>
    <w:p>
      <w:pPr>
        <w:numPr>
          <w:ilvl w:val="0"/>
          <w:numId w:val="8"/>
        </w:numPr>
        <w:spacing w:after="98"/>
        <w:ind w:hanging="629"/>
        <w:rPr>
          <w:color w:val="auto"/>
        </w:rPr>
      </w:pPr>
      <w:r>
        <w:rPr>
          <w:rFonts w:hint="eastAsia"/>
          <w:color w:val="auto"/>
          <w:lang w:eastAsia="zh-CN"/>
        </w:rPr>
        <w:t>招议标</w:t>
      </w:r>
      <w:r>
        <w:rPr>
          <w:color w:val="auto"/>
        </w:rPr>
        <w:t>人授意投标人撤换、修改投标文件；</w:t>
      </w:r>
    </w:p>
    <w:p>
      <w:pPr>
        <w:numPr>
          <w:ilvl w:val="0"/>
          <w:numId w:val="8"/>
        </w:numPr>
        <w:spacing w:after="98"/>
        <w:ind w:hanging="629"/>
        <w:rPr>
          <w:color w:val="auto"/>
        </w:rPr>
      </w:pPr>
      <w:r>
        <w:rPr>
          <w:rFonts w:hint="eastAsia"/>
          <w:color w:val="auto"/>
          <w:lang w:eastAsia="zh-CN"/>
        </w:rPr>
        <w:t>招议标</w:t>
      </w:r>
      <w:r>
        <w:rPr>
          <w:color w:val="auto"/>
        </w:rPr>
        <w:t>人明示或者暗示投标人为特定投标人中标提供方便；</w:t>
      </w:r>
    </w:p>
    <w:p>
      <w:pPr>
        <w:numPr>
          <w:ilvl w:val="0"/>
          <w:numId w:val="8"/>
        </w:numPr>
        <w:ind w:hanging="629"/>
        <w:rPr>
          <w:color w:val="auto"/>
        </w:rPr>
      </w:pPr>
      <w:r>
        <w:rPr>
          <w:rFonts w:hint="eastAsia"/>
          <w:color w:val="auto"/>
          <w:lang w:eastAsia="zh-CN"/>
        </w:rPr>
        <w:t>招议标</w:t>
      </w:r>
      <w:r>
        <w:rPr>
          <w:color w:val="auto"/>
        </w:rPr>
        <w:t>人与投标人为谋求特定投标人中标而采取的其他串通行为。</w:t>
      </w:r>
    </w:p>
    <w:p>
      <w:pPr>
        <w:pStyle w:val="7"/>
        <w:spacing w:after="277"/>
        <w:ind w:left="132"/>
        <w:rPr>
          <w:color w:val="auto"/>
        </w:rPr>
      </w:pPr>
      <w:r>
        <w:rPr>
          <w:color w:val="auto"/>
        </w:rPr>
        <w:t>8.2 对投标人的纪律要求</w:t>
      </w:r>
    </w:p>
    <w:p>
      <w:pPr>
        <w:spacing w:after="5" w:line="353" w:lineRule="auto"/>
        <w:ind w:left="-15" w:right="194" w:firstLine="410"/>
        <w:jc w:val="both"/>
        <w:rPr>
          <w:color w:val="auto"/>
        </w:rPr>
      </w:pPr>
      <w:r>
        <w:rPr>
          <w:color w:val="auto"/>
        </w:rPr>
        <w:t>投标人不得相互串通投标或者与</w:t>
      </w:r>
      <w:r>
        <w:rPr>
          <w:rFonts w:hint="eastAsia"/>
          <w:color w:val="auto"/>
          <w:lang w:eastAsia="zh-CN"/>
        </w:rPr>
        <w:t>招议标</w:t>
      </w:r>
      <w:r>
        <w:rPr>
          <w:color w:val="auto"/>
        </w:rPr>
        <w:t>人串通投标，不得向</w:t>
      </w:r>
      <w:r>
        <w:rPr>
          <w:rFonts w:hint="eastAsia"/>
          <w:color w:val="auto"/>
          <w:lang w:eastAsia="zh-CN"/>
        </w:rPr>
        <w:t>招议标</w:t>
      </w:r>
      <w:r>
        <w:rPr>
          <w:color w:val="auto"/>
        </w:rPr>
        <w:t>人或者评标委员会成员行贿谋取中标，不得以他人名义投标或者以其它方式弄虚作假骗取中标；投标人不得以任何方式干扰、影响评标工作。</w:t>
      </w:r>
    </w:p>
    <w:p>
      <w:pPr>
        <w:spacing w:after="119"/>
        <w:ind w:left="429"/>
        <w:rPr>
          <w:color w:val="auto"/>
        </w:rPr>
      </w:pPr>
      <w:r>
        <w:rPr>
          <w:color w:val="auto"/>
        </w:rPr>
        <w:t>8.2.1 下列行为均属以他人名义投标：</w:t>
      </w:r>
    </w:p>
    <w:p>
      <w:pPr>
        <w:numPr>
          <w:ilvl w:val="0"/>
          <w:numId w:val="9"/>
        </w:numPr>
        <w:spacing w:after="95"/>
        <w:ind w:hanging="523"/>
        <w:rPr>
          <w:color w:val="auto"/>
        </w:rPr>
      </w:pPr>
      <w:r>
        <w:rPr>
          <w:color w:val="auto"/>
        </w:rPr>
        <w:t>投标人挂靠其它单位；</w:t>
      </w:r>
    </w:p>
    <w:p>
      <w:pPr>
        <w:numPr>
          <w:ilvl w:val="0"/>
          <w:numId w:val="9"/>
        </w:numPr>
        <w:spacing w:after="98"/>
        <w:ind w:hanging="523"/>
        <w:rPr>
          <w:color w:val="auto"/>
        </w:rPr>
      </w:pPr>
      <w:r>
        <w:rPr>
          <w:color w:val="auto"/>
        </w:rPr>
        <w:t>投标人从其它单位通过转让或租借的方式获取资格或资质证书；</w:t>
      </w:r>
    </w:p>
    <w:p>
      <w:pPr>
        <w:numPr>
          <w:ilvl w:val="0"/>
          <w:numId w:val="9"/>
        </w:numPr>
        <w:spacing w:after="98"/>
        <w:ind w:hanging="523"/>
        <w:rPr>
          <w:color w:val="auto"/>
        </w:rPr>
      </w:pPr>
      <w:r>
        <w:rPr>
          <w:color w:val="auto"/>
        </w:rPr>
        <w:t>由其它单位及法定代表人在自己编制的投标文件上加盖印章或签字的行为。</w:t>
      </w:r>
    </w:p>
    <w:p>
      <w:pPr>
        <w:spacing w:after="119"/>
        <w:ind w:left="429"/>
        <w:rPr>
          <w:color w:val="auto"/>
        </w:rPr>
      </w:pPr>
      <w:r>
        <w:rPr>
          <w:color w:val="auto"/>
        </w:rPr>
        <w:t>8.2.</w:t>
      </w:r>
      <w:r>
        <w:rPr>
          <w:rFonts w:hint="eastAsia"/>
          <w:color w:val="auto"/>
          <w:lang w:val="en-US" w:eastAsia="zh-CN"/>
        </w:rPr>
        <w:t>2</w:t>
      </w:r>
      <w:r>
        <w:rPr>
          <w:color w:val="auto"/>
        </w:rPr>
        <w:t xml:space="preserve"> 下列行为均属投标人串通投标报价：</w:t>
      </w:r>
    </w:p>
    <w:p>
      <w:pPr>
        <w:numPr>
          <w:ilvl w:val="0"/>
          <w:numId w:val="10"/>
        </w:numPr>
        <w:spacing w:after="98"/>
        <w:ind w:hanging="523"/>
        <w:rPr>
          <w:color w:val="auto"/>
        </w:rPr>
      </w:pPr>
      <w:r>
        <w:rPr>
          <w:color w:val="auto"/>
        </w:rPr>
        <w:t>投标人之间相互约定抬高或压低投标报价；</w:t>
      </w:r>
    </w:p>
    <w:p>
      <w:pPr>
        <w:numPr>
          <w:ilvl w:val="0"/>
          <w:numId w:val="10"/>
        </w:numPr>
        <w:spacing w:after="95"/>
        <w:ind w:hanging="523"/>
        <w:rPr>
          <w:color w:val="auto"/>
        </w:rPr>
      </w:pPr>
      <w:r>
        <w:rPr>
          <w:color w:val="auto"/>
        </w:rPr>
        <w:t>投标人之间相互约定，在</w:t>
      </w:r>
      <w:r>
        <w:rPr>
          <w:rFonts w:hint="eastAsia"/>
          <w:color w:val="auto"/>
          <w:lang w:eastAsia="zh-CN"/>
        </w:rPr>
        <w:t>招议标</w:t>
      </w:r>
      <w:r>
        <w:rPr>
          <w:color w:val="auto"/>
        </w:rPr>
        <w:t>项目中分别以高、中、低价位报价；</w:t>
      </w:r>
    </w:p>
    <w:p>
      <w:pPr>
        <w:numPr>
          <w:ilvl w:val="0"/>
          <w:numId w:val="10"/>
        </w:numPr>
        <w:spacing w:after="98"/>
        <w:ind w:hanging="523"/>
        <w:rPr>
          <w:color w:val="auto"/>
        </w:rPr>
      </w:pPr>
      <w:r>
        <w:rPr>
          <w:color w:val="auto"/>
        </w:rPr>
        <w:t>投标人之间先进行内部竞价，内定中标人，然后再参加投标；</w:t>
      </w:r>
    </w:p>
    <w:p>
      <w:pPr>
        <w:numPr>
          <w:ilvl w:val="0"/>
          <w:numId w:val="10"/>
        </w:numPr>
        <w:spacing w:after="98"/>
        <w:ind w:hanging="523"/>
        <w:rPr>
          <w:color w:val="auto"/>
        </w:rPr>
      </w:pPr>
      <w:r>
        <w:rPr>
          <w:color w:val="auto"/>
        </w:rPr>
        <w:t>投标人之间其它串通投标报价的行为。</w:t>
      </w:r>
    </w:p>
    <w:p>
      <w:pPr>
        <w:spacing w:after="117"/>
        <w:ind w:left="429"/>
        <w:rPr>
          <w:color w:val="auto"/>
        </w:rPr>
      </w:pPr>
      <w:r>
        <w:rPr>
          <w:color w:val="auto"/>
        </w:rPr>
        <w:t>8.2.4 有下列情形之一的，视为投标人相互串通投标：</w:t>
      </w:r>
    </w:p>
    <w:p>
      <w:pPr>
        <w:spacing w:line="354" w:lineRule="auto"/>
        <w:ind w:left="429"/>
        <w:rPr>
          <w:color w:val="auto"/>
        </w:rPr>
      </w:pPr>
      <w:r>
        <w:rPr>
          <w:color w:val="auto"/>
        </w:rPr>
        <w:t>（1）不同投标人的投标文件由同一单位或者个人编制；</w:t>
      </w:r>
    </w:p>
    <w:p>
      <w:pPr>
        <w:spacing w:line="354" w:lineRule="auto"/>
        <w:ind w:left="429"/>
        <w:rPr>
          <w:color w:val="auto"/>
        </w:rPr>
      </w:pPr>
      <w:r>
        <w:rPr>
          <w:color w:val="auto"/>
        </w:rPr>
        <w:t>（2）不同投标人委托同一单位或者个人办理投标事宜；</w:t>
      </w:r>
    </w:p>
    <w:p>
      <w:pPr>
        <w:numPr>
          <w:ilvl w:val="0"/>
          <w:numId w:val="11"/>
        </w:numPr>
        <w:spacing w:after="95"/>
        <w:ind w:hanging="523"/>
        <w:rPr>
          <w:color w:val="auto"/>
        </w:rPr>
      </w:pPr>
      <w:r>
        <w:rPr>
          <w:color w:val="auto"/>
        </w:rPr>
        <w:t>不同投标人的投标文件载明的项目管理成员为同一人；</w:t>
      </w:r>
    </w:p>
    <w:p>
      <w:pPr>
        <w:numPr>
          <w:ilvl w:val="0"/>
          <w:numId w:val="11"/>
        </w:numPr>
        <w:spacing w:after="98"/>
        <w:ind w:hanging="523"/>
        <w:rPr>
          <w:color w:val="auto"/>
        </w:rPr>
      </w:pPr>
      <w:r>
        <w:rPr>
          <w:color w:val="auto"/>
        </w:rPr>
        <w:t>不同投标人的投标文件异常一致或者投标报价呈规律性差异；</w:t>
      </w:r>
    </w:p>
    <w:p>
      <w:pPr>
        <w:numPr>
          <w:ilvl w:val="0"/>
          <w:numId w:val="11"/>
        </w:numPr>
        <w:spacing w:after="98"/>
        <w:ind w:hanging="523"/>
        <w:rPr>
          <w:color w:val="auto"/>
        </w:rPr>
      </w:pPr>
      <w:r>
        <w:rPr>
          <w:color w:val="auto"/>
        </w:rPr>
        <w:t>不同投标人的投标文件相互混装；</w:t>
      </w:r>
    </w:p>
    <w:p>
      <w:pPr>
        <w:spacing w:after="119"/>
        <w:ind w:left="429"/>
        <w:rPr>
          <w:color w:val="auto"/>
        </w:rPr>
      </w:pPr>
      <w:r>
        <w:rPr>
          <w:color w:val="auto"/>
        </w:rPr>
        <w:t>8.2.5 有下列情形之一的，属于投标人弄虚作假的行为：</w:t>
      </w:r>
    </w:p>
    <w:p>
      <w:pPr>
        <w:numPr>
          <w:ilvl w:val="0"/>
          <w:numId w:val="12"/>
        </w:numPr>
        <w:spacing w:after="98"/>
        <w:ind w:hanging="523"/>
        <w:rPr>
          <w:color w:val="auto"/>
        </w:rPr>
      </w:pPr>
      <w:r>
        <w:rPr>
          <w:color w:val="auto"/>
        </w:rPr>
        <w:t>使用伪造、变造的许可证件；</w:t>
      </w:r>
    </w:p>
    <w:p>
      <w:pPr>
        <w:numPr>
          <w:ilvl w:val="0"/>
          <w:numId w:val="12"/>
        </w:numPr>
        <w:spacing w:after="95"/>
        <w:ind w:hanging="523"/>
        <w:rPr>
          <w:color w:val="auto"/>
        </w:rPr>
      </w:pPr>
      <w:r>
        <w:rPr>
          <w:color w:val="auto"/>
        </w:rPr>
        <w:t>提供虚假的业绩；</w:t>
      </w:r>
    </w:p>
    <w:p>
      <w:pPr>
        <w:numPr>
          <w:ilvl w:val="0"/>
          <w:numId w:val="12"/>
        </w:numPr>
        <w:spacing w:after="98"/>
        <w:ind w:hanging="523"/>
        <w:rPr>
          <w:color w:val="auto"/>
        </w:rPr>
      </w:pPr>
      <w:r>
        <w:rPr>
          <w:color w:val="auto"/>
        </w:rPr>
        <w:t>其他弄虚作假的行为。</w:t>
      </w:r>
    </w:p>
    <w:p>
      <w:pPr>
        <w:pStyle w:val="7"/>
        <w:ind w:left="132"/>
        <w:rPr>
          <w:color w:val="auto"/>
        </w:rPr>
      </w:pPr>
      <w:r>
        <w:rPr>
          <w:color w:val="auto"/>
        </w:rPr>
        <w:t>8.3 对评标委员会成员的纪律要求</w:t>
      </w:r>
    </w:p>
    <w:p>
      <w:pPr>
        <w:spacing w:after="158" w:line="265" w:lineRule="auto"/>
        <w:ind w:left="10" w:right="216" w:hanging="10"/>
        <w:jc w:val="right"/>
        <w:rPr>
          <w:color w:val="auto"/>
        </w:rPr>
      </w:pPr>
      <w:r>
        <w:rPr>
          <w:color w:val="auto"/>
        </w:rPr>
        <w:t>评标委员会成员不得收受他人的财物或者其他好处，不得向他人透露对投标文件的评审和比</w:t>
      </w:r>
    </w:p>
    <w:p>
      <w:pPr>
        <w:spacing w:after="241" w:line="406" w:lineRule="auto"/>
        <w:ind w:left="-6"/>
        <w:rPr>
          <w:color w:val="auto"/>
        </w:rPr>
      </w:pPr>
      <w:r>
        <w:rPr>
          <w:color w:val="auto"/>
        </w:rPr>
        <w:t>较、中标候选人的推荐情况以及评标有关的其他情况。在评标活动中，评标委员会成员应当客观、公正地履行职责，遵守职业道德，不得擅离职守，影响评标程序正常进行。</w:t>
      </w:r>
    </w:p>
    <w:p>
      <w:pPr>
        <w:pStyle w:val="7"/>
        <w:ind w:left="132"/>
        <w:rPr>
          <w:color w:val="auto"/>
        </w:rPr>
      </w:pPr>
      <w:r>
        <w:rPr>
          <w:color w:val="auto"/>
        </w:rPr>
        <w:t>8.4 对与评标活动有关的工作人员的纪律要求</w:t>
      </w:r>
    </w:p>
    <w:p>
      <w:pPr>
        <w:spacing w:after="240" w:line="407" w:lineRule="auto"/>
        <w:ind w:left="-15" w:firstLine="420"/>
        <w:rPr>
          <w:color w:val="auto"/>
        </w:rPr>
      </w:pPr>
      <w:r>
        <w:rPr>
          <w:color w:val="auto"/>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pStyle w:val="7"/>
        <w:ind w:left="132"/>
        <w:rPr>
          <w:color w:val="auto"/>
        </w:rPr>
      </w:pPr>
      <w:r>
        <w:rPr>
          <w:color w:val="auto"/>
        </w:rPr>
        <w:t>8.5 投诉</w:t>
      </w:r>
    </w:p>
    <w:p>
      <w:pPr>
        <w:spacing w:line="406" w:lineRule="auto"/>
        <w:ind w:left="-15" w:firstLine="420"/>
        <w:rPr>
          <w:color w:val="auto"/>
        </w:rPr>
      </w:pPr>
      <w:r>
        <w:rPr>
          <w:color w:val="auto"/>
        </w:rPr>
        <w:t>8.5.1投标人或者其他利害关系人认为</w:t>
      </w:r>
      <w:r>
        <w:rPr>
          <w:rFonts w:hint="eastAsia"/>
          <w:color w:val="auto"/>
          <w:lang w:eastAsia="zh-CN"/>
        </w:rPr>
        <w:t>招议标</w:t>
      </w:r>
      <w:r>
        <w:rPr>
          <w:color w:val="auto"/>
        </w:rPr>
        <w:t>投标活动不符合法律、行政法规规定的，可以自知道或者应当知道之日起</w:t>
      </w:r>
      <w:r>
        <w:rPr>
          <w:rFonts w:hint="eastAsia"/>
          <w:color w:val="auto"/>
          <w:u w:val="single"/>
        </w:rPr>
        <w:t>3</w:t>
      </w:r>
      <w:r>
        <w:rPr>
          <w:color w:val="auto"/>
        </w:rPr>
        <w:t>日内向</w:t>
      </w:r>
      <w:r>
        <w:rPr>
          <w:rFonts w:hint="eastAsia"/>
          <w:color w:val="auto"/>
        </w:rPr>
        <w:t>监管</w:t>
      </w:r>
      <w:r>
        <w:rPr>
          <w:color w:val="auto"/>
        </w:rPr>
        <w:t>部门投诉。投诉应当有明确的请求和必要的证明材料。</w:t>
      </w:r>
    </w:p>
    <w:p>
      <w:pPr>
        <w:spacing w:after="219" w:line="426" w:lineRule="auto"/>
        <w:ind w:left="-15" w:firstLine="420"/>
        <w:rPr>
          <w:color w:val="auto"/>
        </w:rPr>
      </w:pPr>
      <w:r>
        <w:rPr>
          <w:color w:val="auto"/>
        </w:rPr>
        <w:t>8.5.2 投标人或者其他利害关系人对</w:t>
      </w:r>
      <w:r>
        <w:rPr>
          <w:rFonts w:hint="eastAsia"/>
          <w:color w:val="auto"/>
          <w:lang w:eastAsia="zh-CN"/>
        </w:rPr>
        <w:t>招议标</w:t>
      </w:r>
      <w:r>
        <w:rPr>
          <w:color w:val="auto"/>
        </w:rPr>
        <w:t>文件、开标和评标结果提出投诉的，应当按照投标人须知的规定先向</w:t>
      </w:r>
      <w:r>
        <w:rPr>
          <w:rFonts w:hint="eastAsia"/>
          <w:color w:val="auto"/>
          <w:lang w:eastAsia="zh-CN"/>
        </w:rPr>
        <w:t>招议标</w:t>
      </w:r>
      <w:r>
        <w:rPr>
          <w:color w:val="auto"/>
        </w:rPr>
        <w:t>人提出异议。异议答复期间不计算在第8.5.1项规定的期限内。</w:t>
      </w:r>
    </w:p>
    <w:p>
      <w:pPr>
        <w:spacing w:after="977" w:line="265" w:lineRule="auto"/>
        <w:ind w:left="166" w:hanging="10"/>
        <w:rPr>
          <w:rFonts w:ascii="黑体" w:hAnsi="黑体" w:eastAsia="黑体" w:cs="黑体"/>
          <w:color w:val="auto"/>
          <w:sz w:val="32"/>
        </w:rPr>
      </w:pPr>
    </w:p>
    <w:p>
      <w:pPr>
        <w:spacing w:after="977" w:line="265" w:lineRule="auto"/>
        <w:ind w:left="166" w:hanging="10"/>
        <w:rPr>
          <w:rFonts w:ascii="黑体" w:hAnsi="黑体" w:eastAsia="黑体" w:cs="黑体"/>
          <w:color w:val="auto"/>
          <w:sz w:val="32"/>
        </w:rPr>
      </w:pPr>
    </w:p>
    <w:p>
      <w:pPr>
        <w:spacing w:after="977" w:line="265" w:lineRule="auto"/>
        <w:ind w:left="166" w:hanging="10"/>
        <w:rPr>
          <w:rFonts w:ascii="黑体" w:hAnsi="黑体" w:eastAsia="黑体" w:cs="黑体"/>
          <w:color w:val="auto"/>
          <w:sz w:val="32"/>
        </w:rPr>
      </w:pPr>
    </w:p>
    <w:p>
      <w:pPr>
        <w:spacing w:after="977" w:line="265" w:lineRule="auto"/>
        <w:ind w:left="166" w:hanging="10"/>
        <w:rPr>
          <w:rFonts w:ascii="黑体" w:hAnsi="黑体" w:eastAsia="黑体" w:cs="黑体"/>
          <w:color w:val="auto"/>
          <w:sz w:val="32"/>
        </w:rPr>
      </w:pPr>
    </w:p>
    <w:p>
      <w:pPr>
        <w:spacing w:after="977" w:line="265" w:lineRule="auto"/>
        <w:ind w:left="166" w:hanging="10"/>
        <w:rPr>
          <w:rFonts w:ascii="黑体" w:hAnsi="黑体" w:eastAsia="黑体" w:cs="黑体"/>
          <w:color w:val="auto"/>
          <w:sz w:val="32"/>
        </w:rPr>
      </w:pPr>
    </w:p>
    <w:p>
      <w:pPr>
        <w:spacing w:after="977" w:line="265" w:lineRule="auto"/>
        <w:ind w:left="0" w:leftChars="0" w:firstLine="0" w:firstLineChars="0"/>
        <w:rPr>
          <w:rFonts w:ascii="黑体" w:hAnsi="黑体" w:eastAsia="黑体" w:cs="黑体"/>
          <w:color w:val="auto"/>
          <w:sz w:val="32"/>
        </w:rPr>
      </w:pPr>
    </w:p>
    <w:p>
      <w:pPr>
        <w:keepNext w:val="0"/>
        <w:keepLines w:val="0"/>
        <w:pageBreakBefore w:val="0"/>
        <w:widowControl/>
        <w:kinsoku/>
        <w:wordWrap/>
        <w:overflowPunct/>
        <w:topLinePunct w:val="0"/>
        <w:autoSpaceDE/>
        <w:autoSpaceDN/>
        <w:bidi w:val="0"/>
        <w:adjustRightInd/>
        <w:snapToGrid/>
        <w:spacing w:after="0" w:line="264" w:lineRule="auto"/>
        <w:ind w:left="0" w:leftChars="0" w:firstLine="0" w:firstLineChars="0"/>
        <w:textAlignment w:val="auto"/>
        <w:rPr>
          <w:rFonts w:ascii="黑体" w:hAnsi="黑体" w:eastAsia="黑体" w:cs="黑体"/>
          <w:color w:val="auto"/>
          <w:sz w:val="32"/>
        </w:rPr>
      </w:pPr>
    </w:p>
    <w:p>
      <w:pPr>
        <w:keepNext w:val="0"/>
        <w:keepLines w:val="0"/>
        <w:pageBreakBefore w:val="0"/>
        <w:widowControl/>
        <w:kinsoku/>
        <w:wordWrap/>
        <w:overflowPunct/>
        <w:topLinePunct w:val="0"/>
        <w:autoSpaceDE/>
        <w:autoSpaceDN/>
        <w:bidi w:val="0"/>
        <w:adjustRightInd/>
        <w:snapToGrid/>
        <w:spacing w:after="0" w:line="264" w:lineRule="auto"/>
        <w:ind w:left="0" w:leftChars="0" w:firstLine="0" w:firstLineChars="0"/>
        <w:textAlignment w:val="auto"/>
        <w:rPr>
          <w:rFonts w:ascii="黑体" w:hAnsi="黑体" w:eastAsia="黑体" w:cs="黑体"/>
          <w:color w:val="auto"/>
          <w:sz w:val="32"/>
        </w:rPr>
      </w:pPr>
    </w:p>
    <w:p>
      <w:pPr>
        <w:keepNext w:val="0"/>
        <w:keepLines w:val="0"/>
        <w:pageBreakBefore w:val="0"/>
        <w:widowControl/>
        <w:kinsoku/>
        <w:wordWrap/>
        <w:overflowPunct/>
        <w:topLinePunct w:val="0"/>
        <w:autoSpaceDE/>
        <w:autoSpaceDN/>
        <w:bidi w:val="0"/>
        <w:adjustRightInd/>
        <w:snapToGrid/>
        <w:spacing w:after="0" w:line="264" w:lineRule="auto"/>
        <w:ind w:left="0" w:leftChars="0" w:firstLine="0" w:firstLineChars="0"/>
        <w:textAlignment w:val="auto"/>
        <w:rPr>
          <w:rFonts w:ascii="黑体" w:hAnsi="黑体" w:eastAsia="黑体" w:cs="黑体"/>
          <w:color w:val="auto"/>
          <w:sz w:val="32"/>
        </w:rPr>
      </w:pPr>
    </w:p>
    <w:p>
      <w:pPr>
        <w:keepNext w:val="0"/>
        <w:keepLines w:val="0"/>
        <w:pageBreakBefore w:val="0"/>
        <w:widowControl/>
        <w:kinsoku/>
        <w:wordWrap/>
        <w:overflowPunct/>
        <w:topLinePunct w:val="0"/>
        <w:autoSpaceDE/>
        <w:autoSpaceDN/>
        <w:bidi w:val="0"/>
        <w:adjustRightInd/>
        <w:snapToGrid/>
        <w:spacing w:after="0" w:line="264" w:lineRule="auto"/>
        <w:ind w:left="0" w:leftChars="0" w:firstLine="0" w:firstLineChars="0"/>
        <w:textAlignment w:val="auto"/>
        <w:rPr>
          <w:rFonts w:ascii="黑体" w:hAnsi="黑体" w:eastAsia="黑体" w:cs="黑体"/>
          <w:color w:val="auto"/>
          <w:sz w:val="32"/>
        </w:rPr>
      </w:pPr>
    </w:p>
    <w:p>
      <w:pPr>
        <w:keepNext w:val="0"/>
        <w:keepLines w:val="0"/>
        <w:pageBreakBefore w:val="0"/>
        <w:widowControl/>
        <w:kinsoku/>
        <w:wordWrap/>
        <w:overflowPunct/>
        <w:topLinePunct w:val="0"/>
        <w:autoSpaceDE/>
        <w:autoSpaceDN/>
        <w:bidi w:val="0"/>
        <w:adjustRightInd/>
        <w:snapToGrid/>
        <w:spacing w:after="0" w:line="264" w:lineRule="auto"/>
        <w:ind w:left="0" w:leftChars="0" w:firstLine="0" w:firstLineChars="0"/>
        <w:textAlignment w:val="auto"/>
        <w:rPr>
          <w:rFonts w:ascii="黑体" w:hAnsi="黑体" w:eastAsia="黑体" w:cs="黑体"/>
          <w:color w:val="auto"/>
          <w:sz w:val="32"/>
        </w:rPr>
      </w:pPr>
      <w:r>
        <w:rPr>
          <w:rFonts w:ascii="黑体" w:hAnsi="黑体" w:eastAsia="黑体" w:cs="黑体"/>
          <w:color w:val="auto"/>
          <w:sz w:val="32"/>
        </w:rPr>
        <w:t>附件1：</w:t>
      </w:r>
      <w:r>
        <w:rPr>
          <w:rFonts w:hint="eastAsia" w:ascii="黑体" w:hAnsi="黑体" w:eastAsia="黑体" w:cs="黑体"/>
          <w:color w:val="auto"/>
          <w:sz w:val="32"/>
          <w:lang w:eastAsia="zh-CN"/>
        </w:rPr>
        <w:t>招议标</w:t>
      </w:r>
      <w:r>
        <w:rPr>
          <w:rFonts w:ascii="黑体" w:hAnsi="黑体" w:eastAsia="黑体" w:cs="黑体"/>
          <w:color w:val="auto"/>
          <w:sz w:val="32"/>
        </w:rPr>
        <w:t>文件修改通知</w:t>
      </w:r>
    </w:p>
    <w:p>
      <w:pPr>
        <w:pStyle w:val="2"/>
      </w:pPr>
    </w:p>
    <w:p>
      <w:pPr>
        <w:keepNext w:val="0"/>
        <w:keepLines w:val="0"/>
        <w:pageBreakBefore w:val="0"/>
        <w:widowControl/>
        <w:kinsoku/>
        <w:wordWrap/>
        <w:overflowPunct/>
        <w:topLinePunct w:val="0"/>
        <w:autoSpaceDE/>
        <w:autoSpaceDN/>
        <w:bidi w:val="0"/>
        <w:adjustRightInd/>
        <w:snapToGrid/>
        <w:spacing w:after="0" w:line="264" w:lineRule="auto"/>
        <w:ind w:left="641" w:right="839" w:hanging="11"/>
        <w:jc w:val="center"/>
        <w:textAlignment w:val="auto"/>
        <w:rPr>
          <w:color w:val="auto"/>
        </w:rPr>
      </w:pPr>
      <w:r>
        <w:rPr>
          <w:rFonts w:hint="eastAsia" w:ascii="黑体" w:hAnsi="黑体" w:eastAsia="黑体" w:cs="黑体"/>
          <w:color w:val="auto"/>
          <w:sz w:val="28"/>
          <w:lang w:eastAsia="zh-CN"/>
        </w:rPr>
        <w:t>招议标</w:t>
      </w:r>
      <w:r>
        <w:rPr>
          <w:rFonts w:ascii="黑体" w:hAnsi="黑体" w:eastAsia="黑体" w:cs="黑体"/>
          <w:color w:val="auto"/>
          <w:sz w:val="28"/>
        </w:rPr>
        <w:t>文件修改通知</w:t>
      </w:r>
    </w:p>
    <w:p>
      <w:pPr>
        <w:tabs>
          <w:tab w:val="center" w:pos="3815"/>
          <w:tab w:val="center" w:pos="5284"/>
        </w:tabs>
        <w:spacing w:after="646" w:line="265" w:lineRule="auto"/>
        <w:ind w:left="0" w:firstLine="0"/>
        <w:rPr>
          <w:color w:val="auto"/>
        </w:rPr>
      </w:pPr>
      <w:r>
        <w:rPr>
          <w:rFonts w:ascii="Calibri" w:hAnsi="Calibri" w:eastAsia="Calibri" w:cs="Calibri"/>
          <w:color w:val="auto"/>
          <w:sz w:val="22"/>
        </w:rPr>
        <w:tab/>
      </w:r>
    </w:p>
    <w:p>
      <w:pPr>
        <w:spacing w:after="178" w:line="265" w:lineRule="auto"/>
        <w:ind w:left="147" w:hanging="10"/>
        <w:rPr>
          <w:color w:val="auto"/>
        </w:rPr>
      </w:pPr>
      <w:r>
        <w:rPr>
          <w:color w:val="auto"/>
        </w:rPr>
        <w:t>经研究，对</w:t>
      </w:r>
      <w:r>
        <w:rPr>
          <w:rFonts w:hint="eastAsia"/>
          <w:color w:val="auto"/>
          <w:u w:val="single"/>
        </w:rPr>
        <w:t xml:space="preserve"> </w:t>
      </w:r>
      <w:r>
        <w:rPr>
          <w:color w:val="auto"/>
          <w:u w:val="single"/>
        </w:rPr>
        <w:t xml:space="preserve">         </w:t>
      </w:r>
      <w:r>
        <w:rPr>
          <w:color w:val="auto"/>
        </w:rPr>
        <w:t>（项目名称）</w:t>
      </w:r>
      <w:r>
        <w:rPr>
          <w:rFonts w:hint="eastAsia"/>
          <w:color w:val="auto"/>
          <w:lang w:eastAsia="zh-CN"/>
        </w:rPr>
        <w:t>招议标</w:t>
      </w:r>
      <w:r>
        <w:rPr>
          <w:color w:val="auto"/>
        </w:rPr>
        <w:t>文件，作如下修改：</w:t>
      </w:r>
    </w:p>
    <w:p>
      <w:pPr>
        <w:spacing w:after="174"/>
        <w:ind w:left="429"/>
        <w:rPr>
          <w:color w:val="auto"/>
        </w:rPr>
      </w:pPr>
      <w:r>
        <w:rPr>
          <w:color w:val="auto"/>
        </w:rPr>
        <w:t>1. 原条款第</w:t>
      </w:r>
      <w:r>
        <w:rPr>
          <w:rFonts w:hint="eastAsia"/>
          <w:color w:val="auto"/>
          <w:u w:val="single"/>
        </w:rPr>
        <w:t xml:space="preserve"> </w:t>
      </w:r>
      <w:r>
        <w:rPr>
          <w:color w:val="auto"/>
          <w:u w:val="single"/>
        </w:rPr>
        <w:t xml:space="preserve">         </w:t>
      </w:r>
      <w:r>
        <w:rPr>
          <w:color w:val="auto"/>
        </w:rPr>
        <w:t>条为：</w:t>
      </w:r>
      <w:r>
        <w:rPr>
          <w:rFonts w:hint="eastAsia"/>
          <w:color w:val="auto"/>
          <w:u w:val="single"/>
        </w:rPr>
        <w:t xml:space="preserve"> </w:t>
      </w:r>
      <w:r>
        <w:rPr>
          <w:color w:val="auto"/>
          <w:u w:val="single"/>
        </w:rPr>
        <w:t xml:space="preserve">                            </w:t>
      </w:r>
    </w:p>
    <w:p>
      <w:pPr>
        <w:tabs>
          <w:tab w:val="left" w:pos="7508"/>
        </w:tabs>
        <w:spacing w:after="179"/>
        <w:ind w:left="-15" w:firstLine="0"/>
        <w:rPr>
          <w:color w:val="auto"/>
        </w:rPr>
      </w:pPr>
      <w:r>
        <w:rPr>
          <w:color w:val="auto"/>
        </w:rPr>
        <w:t>现修改为</w:t>
      </w:r>
      <w:r>
        <w:rPr>
          <w:rFonts w:hint="eastAsia"/>
          <w:color w:val="auto"/>
          <w:u w:val="single"/>
        </w:rPr>
        <w:t xml:space="preserve"> </w:t>
      </w:r>
      <w:r>
        <w:rPr>
          <w:color w:val="auto"/>
          <w:u w:val="single"/>
        </w:rPr>
        <w:t xml:space="preserve">                                          </w:t>
      </w:r>
      <w:r>
        <w:rPr>
          <w:color w:val="auto"/>
        </w:rPr>
        <w:t>。</w:t>
      </w:r>
      <w:r>
        <w:rPr>
          <w:color w:val="auto"/>
        </w:rPr>
        <w:tab/>
      </w:r>
    </w:p>
    <w:p>
      <w:pPr>
        <w:spacing w:after="155"/>
        <w:ind w:left="429"/>
        <w:rPr>
          <w:color w:val="auto"/>
        </w:rPr>
      </w:pPr>
      <w:r>
        <w:rPr>
          <w:color w:val="auto"/>
        </w:rPr>
        <w:t>2.……</w:t>
      </w:r>
    </w:p>
    <w:p>
      <w:pPr>
        <w:keepNext w:val="0"/>
        <w:keepLines w:val="0"/>
        <w:pageBreakBefore w:val="0"/>
        <w:widowControl/>
        <w:kinsoku/>
        <w:wordWrap/>
        <w:overflowPunct/>
        <w:topLinePunct w:val="0"/>
        <w:autoSpaceDE/>
        <w:autoSpaceDN/>
        <w:bidi w:val="0"/>
        <w:adjustRightInd/>
        <w:snapToGrid/>
        <w:spacing w:after="0" w:line="272" w:lineRule="auto"/>
        <w:ind w:left="431" w:hanging="11"/>
        <w:textAlignment w:val="auto"/>
        <w:rPr>
          <w:color w:val="auto"/>
        </w:rPr>
      </w:pPr>
      <w:r>
        <w:rPr>
          <w:color w:val="auto"/>
        </w:rPr>
        <w:t>……</w:t>
      </w:r>
    </w:p>
    <w:p>
      <w:pPr>
        <w:pStyle w:val="2"/>
        <w:rPr>
          <w:color w:val="auto"/>
        </w:rPr>
      </w:pPr>
    </w:p>
    <w:p>
      <w:pPr>
        <w:pStyle w:val="2"/>
        <w:rPr>
          <w:color w:val="auto"/>
        </w:rPr>
      </w:pPr>
    </w:p>
    <w:p>
      <w:pPr>
        <w:tabs>
          <w:tab w:val="center" w:pos="4438"/>
          <w:tab w:val="right" w:pos="8995"/>
        </w:tabs>
        <w:spacing w:after="642" w:line="265" w:lineRule="auto"/>
        <w:ind w:left="0" w:firstLine="0"/>
        <w:rPr>
          <w:color w:val="auto"/>
        </w:rPr>
      </w:pPr>
      <w:r>
        <w:rPr>
          <w:rFonts w:ascii="Calibri" w:hAnsi="Calibri" w:eastAsia="Calibri" w:cs="Calibri"/>
          <w:color w:val="auto"/>
          <w:sz w:val="22"/>
        </w:rPr>
        <w:tab/>
      </w:r>
      <w:r>
        <w:rPr>
          <w:rFonts w:hint="eastAsia" w:eastAsia="宋体"/>
          <w:color w:val="auto"/>
          <w:lang w:eastAsia="zh-CN"/>
        </w:rPr>
        <w:t>招议标</w:t>
      </w:r>
      <w:r>
        <w:rPr>
          <w:color w:val="auto"/>
        </w:rPr>
        <w:t>人：</w:t>
      </w:r>
      <w:r>
        <w:rPr>
          <w:color w:val="auto"/>
        </w:rPr>
        <w:tab/>
      </w:r>
      <w:r>
        <w:rPr>
          <w:color w:val="auto"/>
        </w:rPr>
        <w:t>（盖单位章）</w:t>
      </w:r>
    </w:p>
    <w:p>
      <w:pPr>
        <w:tabs>
          <w:tab w:val="center" w:pos="5951"/>
          <w:tab w:val="center" w:pos="7002"/>
          <w:tab w:val="center" w:pos="8051"/>
        </w:tabs>
        <w:spacing w:after="158" w:line="265" w:lineRule="auto"/>
        <w:ind w:left="0" w:firstLine="0"/>
        <w:rPr>
          <w:color w:val="auto"/>
        </w:rPr>
      </w:pPr>
      <w:r>
        <w:rPr>
          <w:rFonts w:ascii="Calibri" w:hAnsi="Calibri" w:eastAsia="Calibri" w:cs="Calibri"/>
          <w:color w:val="auto"/>
          <w:sz w:val="22"/>
        </w:rPr>
        <w:tab/>
      </w:r>
      <w:r>
        <w:rPr>
          <w:rFonts w:hint="eastAsia"/>
          <w:color w:val="auto"/>
          <w:u w:val="single"/>
        </w:rPr>
        <w:t xml:space="preserve"> </w:t>
      </w:r>
      <w:r>
        <w:rPr>
          <w:color w:val="auto"/>
          <w:u w:val="single"/>
        </w:rPr>
        <w:t xml:space="preserve">         </w:t>
      </w:r>
      <w:r>
        <w:rPr>
          <w:color w:val="auto"/>
        </w:rPr>
        <w:t>年</w:t>
      </w:r>
      <w:r>
        <w:rPr>
          <w:rFonts w:hint="eastAsia"/>
          <w:color w:val="auto"/>
          <w:u w:val="single"/>
        </w:rPr>
        <w:t xml:space="preserve"> </w:t>
      </w:r>
      <w:r>
        <w:rPr>
          <w:color w:val="auto"/>
          <w:u w:val="single"/>
        </w:rPr>
        <w:t xml:space="preserve">        </w:t>
      </w:r>
      <w:r>
        <w:rPr>
          <w:color w:val="auto"/>
        </w:rPr>
        <w:t>月</w:t>
      </w:r>
      <w:r>
        <w:rPr>
          <w:rFonts w:hint="eastAsia"/>
          <w:color w:val="auto"/>
          <w:u w:val="single"/>
        </w:rPr>
        <w:t xml:space="preserve"> </w:t>
      </w:r>
      <w:r>
        <w:rPr>
          <w:color w:val="auto"/>
          <w:u w:val="single"/>
        </w:rPr>
        <w:t xml:space="preserve">         </w:t>
      </w:r>
      <w:r>
        <w:rPr>
          <w:color w:val="auto"/>
        </w:rPr>
        <w:t>日</w:t>
      </w:r>
    </w:p>
    <w:p>
      <w:pPr>
        <w:spacing w:after="692" w:line="265" w:lineRule="auto"/>
        <w:ind w:left="0" w:leftChars="0" w:firstLine="0" w:firstLineChars="0"/>
        <w:rPr>
          <w:rFonts w:ascii="黑体" w:hAnsi="黑体" w:eastAsia="黑体" w:cs="黑体"/>
          <w:color w:val="auto"/>
          <w:sz w:val="32"/>
        </w:rPr>
      </w:pPr>
    </w:p>
    <w:p>
      <w:pPr>
        <w:keepNext w:val="0"/>
        <w:keepLines w:val="0"/>
        <w:pageBreakBefore w:val="0"/>
        <w:widowControl/>
        <w:kinsoku/>
        <w:wordWrap/>
        <w:overflowPunct/>
        <w:topLinePunct w:val="0"/>
        <w:autoSpaceDE/>
        <w:autoSpaceDN/>
        <w:bidi w:val="0"/>
        <w:adjustRightInd/>
        <w:snapToGrid/>
        <w:spacing w:after="0" w:line="264" w:lineRule="auto"/>
        <w:ind w:left="0" w:leftChars="0" w:firstLine="0" w:firstLineChars="0"/>
        <w:textAlignment w:val="auto"/>
        <w:rPr>
          <w:rFonts w:ascii="黑体" w:hAnsi="黑体" w:eastAsia="黑体" w:cs="黑体"/>
          <w:color w:val="auto"/>
          <w:sz w:val="32"/>
        </w:rPr>
      </w:pPr>
      <w:r>
        <w:rPr>
          <w:rFonts w:ascii="黑体" w:hAnsi="黑体" w:eastAsia="黑体" w:cs="黑体"/>
          <w:color w:val="auto"/>
          <w:sz w:val="32"/>
        </w:rPr>
        <w:t>附件</w:t>
      </w:r>
      <w:r>
        <w:rPr>
          <w:rFonts w:ascii="Times New Roman" w:hAnsi="Times New Roman" w:eastAsia="Times New Roman" w:cs="Times New Roman"/>
          <w:color w:val="auto"/>
          <w:sz w:val="32"/>
        </w:rPr>
        <w:t>2</w:t>
      </w:r>
      <w:r>
        <w:rPr>
          <w:rFonts w:ascii="黑体" w:hAnsi="黑体" w:eastAsia="黑体" w:cs="黑体"/>
          <w:color w:val="auto"/>
          <w:sz w:val="32"/>
        </w:rPr>
        <w:t>：开标记录表</w:t>
      </w:r>
    </w:p>
    <w:p>
      <w:pPr>
        <w:pStyle w:val="2"/>
      </w:pPr>
    </w:p>
    <w:p>
      <w:pPr>
        <w:spacing w:after="133" w:line="265" w:lineRule="auto"/>
        <w:ind w:left="641" w:right="838" w:hanging="10"/>
        <w:jc w:val="center"/>
        <w:rPr>
          <w:color w:val="auto"/>
        </w:rPr>
      </w:pPr>
      <w:r>
        <w:rPr>
          <w:rFonts w:ascii="黑体" w:hAnsi="黑体" w:eastAsia="黑体" w:cs="黑体"/>
          <w:color w:val="auto"/>
          <w:sz w:val="28"/>
        </w:rPr>
        <w:t>开标记录表</w:t>
      </w:r>
    </w:p>
    <w:p>
      <w:pPr>
        <w:spacing w:after="5" w:line="262" w:lineRule="auto"/>
        <w:ind w:right="1190"/>
        <w:rPr>
          <w:color w:val="auto"/>
        </w:rPr>
      </w:pPr>
      <w:r>
        <w:rPr>
          <w:color w:val="auto"/>
        </w:rPr>
        <w:t>开标时间：</w:t>
      </w:r>
      <w:r>
        <w:rPr>
          <w:rFonts w:hint="eastAsia"/>
          <w:color w:val="auto"/>
          <w:u w:val="single"/>
        </w:rPr>
        <w:t xml:space="preserve"> </w:t>
      </w:r>
      <w:r>
        <w:rPr>
          <w:color w:val="auto"/>
          <w:u w:val="single"/>
        </w:rPr>
        <w:t xml:space="preserve">         </w:t>
      </w:r>
      <w:r>
        <w:rPr>
          <w:rFonts w:ascii="Times New Roman" w:hAnsi="Times New Roman" w:eastAsia="Times New Roman" w:cs="Times New Roman"/>
          <w:color w:val="auto"/>
        </w:rPr>
        <w:t>_</w:t>
      </w:r>
      <w:r>
        <w:rPr>
          <w:color w:val="auto"/>
        </w:rPr>
        <w:t>年</w:t>
      </w:r>
      <w:r>
        <w:rPr>
          <w:rFonts w:hint="eastAsia"/>
          <w:color w:val="auto"/>
          <w:u w:val="single"/>
        </w:rPr>
        <w:t xml:space="preserve"> </w:t>
      </w:r>
      <w:r>
        <w:rPr>
          <w:color w:val="auto"/>
          <w:u w:val="single"/>
        </w:rPr>
        <w:t xml:space="preserve">         </w:t>
      </w:r>
      <w:r>
        <w:rPr>
          <w:color w:val="auto"/>
        </w:rPr>
        <w:t>月</w:t>
      </w:r>
      <w:r>
        <w:rPr>
          <w:rFonts w:hint="eastAsia"/>
          <w:color w:val="auto"/>
          <w:u w:val="single"/>
        </w:rPr>
        <w:t xml:space="preserve"> </w:t>
      </w:r>
      <w:r>
        <w:rPr>
          <w:color w:val="auto"/>
          <w:u w:val="single"/>
        </w:rPr>
        <w:t xml:space="preserve">         </w:t>
      </w:r>
      <w:r>
        <w:rPr>
          <w:color w:val="auto"/>
        </w:rPr>
        <w:t>日</w:t>
      </w:r>
      <w:r>
        <w:rPr>
          <w:rFonts w:hint="eastAsia"/>
          <w:color w:val="auto"/>
          <w:u w:val="single"/>
        </w:rPr>
        <w:t xml:space="preserve"> </w:t>
      </w:r>
      <w:r>
        <w:rPr>
          <w:color w:val="auto"/>
          <w:u w:val="single"/>
        </w:rPr>
        <w:t xml:space="preserve">         </w:t>
      </w:r>
      <w:r>
        <w:rPr>
          <w:color w:val="auto"/>
        </w:rPr>
        <w:t>时</w:t>
      </w:r>
      <w:r>
        <w:rPr>
          <w:rFonts w:hint="eastAsia"/>
          <w:color w:val="auto"/>
          <w:u w:val="single"/>
        </w:rPr>
        <w:t xml:space="preserve"> </w:t>
      </w:r>
      <w:r>
        <w:rPr>
          <w:color w:val="auto"/>
          <w:u w:val="single"/>
        </w:rPr>
        <w:t xml:space="preserve">         </w:t>
      </w:r>
      <w:r>
        <w:rPr>
          <w:color w:val="auto"/>
        </w:rPr>
        <w:t>分</w:t>
      </w:r>
    </w:p>
    <w:p>
      <w:pPr>
        <w:spacing w:after="5" w:line="262" w:lineRule="auto"/>
        <w:ind w:left="0" w:right="1190" w:firstLine="0"/>
        <w:rPr>
          <w:color w:val="auto"/>
        </w:rPr>
      </w:pPr>
    </w:p>
    <w:tbl>
      <w:tblPr>
        <w:tblStyle w:val="19"/>
        <w:tblW w:w="80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4072"/>
        <w:gridCol w:w="1028"/>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3" w:type="dxa"/>
          </w:tcPr>
          <w:p>
            <w:pPr>
              <w:spacing w:after="5" w:line="262" w:lineRule="auto"/>
              <w:ind w:left="-556" w:leftChars="-265" w:right="350" w:firstLine="0"/>
              <w:jc w:val="right"/>
              <w:rPr>
                <w:color w:val="auto"/>
                <w:sz w:val="18"/>
                <w:szCs w:val="18"/>
              </w:rPr>
            </w:pPr>
            <w:r>
              <w:rPr>
                <w:rFonts w:hint="eastAsia"/>
                <w:color w:val="auto"/>
                <w:sz w:val="18"/>
                <w:szCs w:val="18"/>
              </w:rPr>
              <w:t>序号</w:t>
            </w:r>
          </w:p>
        </w:tc>
        <w:tc>
          <w:tcPr>
            <w:tcW w:w="4072" w:type="dxa"/>
          </w:tcPr>
          <w:p>
            <w:pPr>
              <w:spacing w:after="5" w:line="262" w:lineRule="auto"/>
              <w:ind w:left="0" w:right="171" w:firstLine="0"/>
              <w:jc w:val="center"/>
              <w:rPr>
                <w:color w:val="auto"/>
                <w:sz w:val="18"/>
                <w:szCs w:val="18"/>
              </w:rPr>
            </w:pPr>
            <w:r>
              <w:rPr>
                <w:rFonts w:hint="eastAsia"/>
                <w:color w:val="auto"/>
                <w:sz w:val="18"/>
                <w:szCs w:val="18"/>
              </w:rPr>
              <w:t>投标人</w:t>
            </w:r>
          </w:p>
        </w:tc>
        <w:tc>
          <w:tcPr>
            <w:tcW w:w="1028" w:type="dxa"/>
          </w:tcPr>
          <w:p>
            <w:pPr>
              <w:spacing w:after="5" w:line="262" w:lineRule="auto"/>
              <w:ind w:left="0" w:right="350" w:firstLine="0"/>
              <w:jc w:val="right"/>
              <w:rPr>
                <w:color w:val="auto"/>
                <w:sz w:val="18"/>
                <w:szCs w:val="18"/>
              </w:rPr>
            </w:pPr>
            <w:r>
              <w:rPr>
                <w:rFonts w:hint="eastAsia"/>
                <w:color w:val="auto"/>
                <w:sz w:val="18"/>
                <w:szCs w:val="18"/>
              </w:rPr>
              <w:t>备注</w:t>
            </w:r>
          </w:p>
        </w:tc>
        <w:tc>
          <w:tcPr>
            <w:tcW w:w="1593" w:type="dxa"/>
          </w:tcPr>
          <w:p>
            <w:pPr>
              <w:spacing w:after="5" w:line="262" w:lineRule="auto"/>
              <w:ind w:left="0" w:firstLine="0"/>
              <w:jc w:val="center"/>
              <w:rPr>
                <w:color w:val="auto"/>
                <w:sz w:val="18"/>
                <w:szCs w:val="18"/>
              </w:rPr>
            </w:pPr>
            <w:r>
              <w:rPr>
                <w:rFonts w:hint="eastAsia"/>
                <w:color w:val="auto"/>
                <w:sz w:val="18"/>
                <w:szCs w:val="18"/>
              </w:rPr>
              <w:t>投标人代表签名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3" w:type="dxa"/>
          </w:tcPr>
          <w:p>
            <w:pPr>
              <w:spacing w:after="5" w:line="262" w:lineRule="auto"/>
              <w:ind w:left="0" w:right="350" w:firstLine="0"/>
              <w:jc w:val="center"/>
              <w:rPr>
                <w:color w:val="auto"/>
                <w:sz w:val="18"/>
                <w:szCs w:val="18"/>
              </w:rPr>
            </w:pPr>
          </w:p>
        </w:tc>
        <w:tc>
          <w:tcPr>
            <w:tcW w:w="4072" w:type="dxa"/>
          </w:tcPr>
          <w:p>
            <w:pPr>
              <w:spacing w:after="5" w:line="262" w:lineRule="auto"/>
              <w:ind w:left="0" w:right="350" w:firstLine="0"/>
              <w:jc w:val="center"/>
              <w:rPr>
                <w:color w:val="auto"/>
                <w:sz w:val="18"/>
                <w:szCs w:val="18"/>
              </w:rPr>
            </w:pPr>
          </w:p>
        </w:tc>
        <w:tc>
          <w:tcPr>
            <w:tcW w:w="1028" w:type="dxa"/>
          </w:tcPr>
          <w:p>
            <w:pPr>
              <w:spacing w:after="5" w:line="262" w:lineRule="auto"/>
              <w:ind w:left="0" w:right="350" w:firstLine="0"/>
              <w:jc w:val="center"/>
              <w:rPr>
                <w:color w:val="auto"/>
                <w:sz w:val="18"/>
                <w:szCs w:val="18"/>
              </w:rPr>
            </w:pPr>
          </w:p>
        </w:tc>
        <w:tc>
          <w:tcPr>
            <w:tcW w:w="1593" w:type="dxa"/>
          </w:tcPr>
          <w:p>
            <w:pPr>
              <w:spacing w:after="5" w:line="262" w:lineRule="auto"/>
              <w:ind w:left="0" w:right="350" w:firstLine="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3" w:type="dxa"/>
          </w:tcPr>
          <w:p>
            <w:pPr>
              <w:spacing w:after="5" w:line="262" w:lineRule="auto"/>
              <w:ind w:left="0" w:right="350" w:firstLine="0"/>
              <w:jc w:val="center"/>
              <w:rPr>
                <w:color w:val="auto"/>
                <w:sz w:val="18"/>
                <w:szCs w:val="18"/>
              </w:rPr>
            </w:pPr>
          </w:p>
        </w:tc>
        <w:tc>
          <w:tcPr>
            <w:tcW w:w="4072" w:type="dxa"/>
          </w:tcPr>
          <w:p>
            <w:pPr>
              <w:spacing w:after="5" w:line="262" w:lineRule="auto"/>
              <w:ind w:left="0" w:right="350" w:firstLine="0"/>
              <w:jc w:val="center"/>
              <w:rPr>
                <w:color w:val="auto"/>
                <w:sz w:val="18"/>
                <w:szCs w:val="18"/>
              </w:rPr>
            </w:pPr>
          </w:p>
        </w:tc>
        <w:tc>
          <w:tcPr>
            <w:tcW w:w="1028" w:type="dxa"/>
          </w:tcPr>
          <w:p>
            <w:pPr>
              <w:spacing w:after="5" w:line="262" w:lineRule="auto"/>
              <w:ind w:left="0" w:right="350" w:firstLine="0"/>
              <w:jc w:val="center"/>
              <w:rPr>
                <w:color w:val="auto"/>
                <w:sz w:val="18"/>
                <w:szCs w:val="18"/>
              </w:rPr>
            </w:pPr>
          </w:p>
        </w:tc>
        <w:tc>
          <w:tcPr>
            <w:tcW w:w="1593" w:type="dxa"/>
          </w:tcPr>
          <w:p>
            <w:pPr>
              <w:spacing w:after="5" w:line="262" w:lineRule="auto"/>
              <w:ind w:left="0" w:right="350" w:firstLine="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3" w:type="dxa"/>
          </w:tcPr>
          <w:p>
            <w:pPr>
              <w:spacing w:after="5" w:line="262" w:lineRule="auto"/>
              <w:ind w:left="0" w:right="350" w:firstLine="0"/>
              <w:jc w:val="center"/>
              <w:rPr>
                <w:color w:val="auto"/>
                <w:sz w:val="18"/>
                <w:szCs w:val="18"/>
              </w:rPr>
            </w:pPr>
          </w:p>
        </w:tc>
        <w:tc>
          <w:tcPr>
            <w:tcW w:w="4072" w:type="dxa"/>
          </w:tcPr>
          <w:p>
            <w:pPr>
              <w:spacing w:after="5" w:line="262" w:lineRule="auto"/>
              <w:ind w:left="0" w:right="350" w:firstLine="0"/>
              <w:jc w:val="center"/>
              <w:rPr>
                <w:color w:val="auto"/>
                <w:sz w:val="18"/>
                <w:szCs w:val="18"/>
              </w:rPr>
            </w:pPr>
          </w:p>
        </w:tc>
        <w:tc>
          <w:tcPr>
            <w:tcW w:w="1028" w:type="dxa"/>
          </w:tcPr>
          <w:p>
            <w:pPr>
              <w:spacing w:after="5" w:line="262" w:lineRule="auto"/>
              <w:ind w:left="0" w:right="350" w:firstLine="0"/>
              <w:jc w:val="center"/>
              <w:rPr>
                <w:color w:val="auto"/>
                <w:sz w:val="18"/>
                <w:szCs w:val="18"/>
              </w:rPr>
            </w:pPr>
          </w:p>
        </w:tc>
        <w:tc>
          <w:tcPr>
            <w:tcW w:w="1593" w:type="dxa"/>
          </w:tcPr>
          <w:p>
            <w:pPr>
              <w:spacing w:after="5" w:line="262" w:lineRule="auto"/>
              <w:ind w:left="0" w:right="350" w:firstLine="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3" w:type="dxa"/>
          </w:tcPr>
          <w:p>
            <w:pPr>
              <w:spacing w:after="5" w:line="262" w:lineRule="auto"/>
              <w:ind w:left="0" w:right="350" w:firstLine="0"/>
              <w:jc w:val="center"/>
              <w:rPr>
                <w:color w:val="auto"/>
                <w:sz w:val="18"/>
                <w:szCs w:val="18"/>
              </w:rPr>
            </w:pPr>
          </w:p>
        </w:tc>
        <w:tc>
          <w:tcPr>
            <w:tcW w:w="4072" w:type="dxa"/>
          </w:tcPr>
          <w:p>
            <w:pPr>
              <w:spacing w:after="5" w:line="262" w:lineRule="auto"/>
              <w:ind w:left="0" w:right="350" w:firstLine="0"/>
              <w:jc w:val="center"/>
              <w:rPr>
                <w:color w:val="auto"/>
                <w:sz w:val="18"/>
                <w:szCs w:val="18"/>
              </w:rPr>
            </w:pPr>
          </w:p>
        </w:tc>
        <w:tc>
          <w:tcPr>
            <w:tcW w:w="1028" w:type="dxa"/>
          </w:tcPr>
          <w:p>
            <w:pPr>
              <w:spacing w:after="5" w:line="262" w:lineRule="auto"/>
              <w:ind w:left="0" w:right="350" w:firstLine="0"/>
              <w:jc w:val="center"/>
              <w:rPr>
                <w:color w:val="auto"/>
                <w:sz w:val="18"/>
                <w:szCs w:val="18"/>
              </w:rPr>
            </w:pPr>
          </w:p>
        </w:tc>
        <w:tc>
          <w:tcPr>
            <w:tcW w:w="1593" w:type="dxa"/>
          </w:tcPr>
          <w:p>
            <w:pPr>
              <w:spacing w:after="5" w:line="262" w:lineRule="auto"/>
              <w:ind w:left="0" w:right="350" w:firstLine="0"/>
              <w:jc w:val="center"/>
              <w:rPr>
                <w:color w:val="auto"/>
                <w:sz w:val="18"/>
                <w:szCs w:val="18"/>
              </w:rPr>
            </w:pPr>
          </w:p>
        </w:tc>
      </w:tr>
    </w:tbl>
    <w:p>
      <w:pPr>
        <w:spacing w:after="5" w:line="262" w:lineRule="auto"/>
        <w:ind w:left="586" w:right="350" w:hanging="10"/>
        <w:jc w:val="right"/>
        <w:rPr>
          <w:color w:val="auto"/>
        </w:rPr>
      </w:pPr>
    </w:p>
    <w:p>
      <w:pPr>
        <w:keepNext w:val="0"/>
        <w:keepLines w:val="0"/>
        <w:pageBreakBefore w:val="0"/>
        <w:widowControl/>
        <w:tabs>
          <w:tab w:val="center" w:pos="2570"/>
          <w:tab w:val="center" w:pos="5983"/>
        </w:tabs>
        <w:kinsoku/>
        <w:wordWrap/>
        <w:overflowPunct/>
        <w:topLinePunct w:val="0"/>
        <w:autoSpaceDE/>
        <w:autoSpaceDN/>
        <w:bidi w:val="0"/>
        <w:adjustRightInd/>
        <w:snapToGrid/>
        <w:spacing w:after="0" w:line="272" w:lineRule="auto"/>
        <w:ind w:left="-17" w:firstLine="0"/>
        <w:textAlignment w:val="auto"/>
        <w:rPr>
          <w:color w:val="auto"/>
          <w:u w:val="single"/>
        </w:rPr>
      </w:pPr>
      <w:r>
        <w:rPr>
          <w:rFonts w:hint="eastAsia"/>
          <w:color w:val="auto"/>
          <w:lang w:eastAsia="zh-CN"/>
        </w:rPr>
        <w:t>招议标</w:t>
      </w:r>
      <w:r>
        <w:rPr>
          <w:color w:val="auto"/>
        </w:rPr>
        <w:t>人：</w:t>
      </w:r>
      <w:r>
        <w:rPr>
          <w:color w:val="auto"/>
        </w:rPr>
        <w:tab/>
      </w:r>
      <w:r>
        <w:rPr>
          <w:color w:val="auto"/>
          <w:u w:val="single"/>
        </w:rPr>
        <w:t xml:space="preserve">      </w:t>
      </w:r>
      <w:r>
        <w:rPr>
          <w:color w:val="auto"/>
        </w:rPr>
        <w:t>记录人：</w:t>
      </w:r>
      <w:r>
        <w:rPr>
          <w:color w:val="auto"/>
          <w:u w:val="single"/>
        </w:rPr>
        <w:t xml:space="preserve">      </w:t>
      </w:r>
      <w:r>
        <w:rPr>
          <w:color w:val="auto"/>
        </w:rPr>
        <w:t xml:space="preserve"> 监标人：</w:t>
      </w:r>
      <w:r>
        <w:rPr>
          <w:color w:val="auto"/>
          <w:u w:val="single"/>
        </w:rPr>
        <w:t xml:space="preserve">      </w:t>
      </w:r>
    </w:p>
    <w:p>
      <w:pPr>
        <w:pStyle w:val="2"/>
      </w:pPr>
    </w:p>
    <w:p>
      <w:pPr>
        <w:tabs>
          <w:tab w:val="center" w:pos="2570"/>
          <w:tab w:val="center" w:pos="5983"/>
        </w:tabs>
        <w:spacing w:after="714"/>
        <w:ind w:left="-15" w:firstLine="0"/>
        <w:jc w:val="right"/>
        <w:rPr>
          <w:color w:val="auto"/>
        </w:rPr>
      </w:pPr>
      <w:r>
        <w:rPr>
          <w:rFonts w:hint="eastAsia"/>
          <w:color w:val="auto"/>
          <w:u w:val="single"/>
        </w:rPr>
        <w:t xml:space="preserve"> </w:t>
      </w:r>
      <w:r>
        <w:rPr>
          <w:color w:val="auto"/>
          <w:u w:val="single"/>
        </w:rPr>
        <w:t xml:space="preserve">           </w:t>
      </w:r>
      <w:r>
        <w:rPr>
          <w:rFonts w:hint="eastAsia"/>
          <w:color w:val="auto"/>
          <w:u w:val="single"/>
        </w:rPr>
        <w:t xml:space="preserve">年 </w:t>
      </w:r>
      <w:r>
        <w:rPr>
          <w:color w:val="auto"/>
          <w:u w:val="single"/>
        </w:rPr>
        <w:t xml:space="preserve">      </w:t>
      </w:r>
      <w:r>
        <w:rPr>
          <w:rFonts w:hint="eastAsia"/>
          <w:color w:val="auto"/>
          <w:u w:val="single"/>
        </w:rPr>
        <w:t xml:space="preserve">月 </w:t>
      </w:r>
      <w:r>
        <w:rPr>
          <w:color w:val="auto"/>
          <w:u w:val="single"/>
        </w:rPr>
        <w:t xml:space="preserve">           </w:t>
      </w:r>
      <w:r>
        <w:rPr>
          <w:rFonts w:hint="eastAsia"/>
          <w:color w:val="auto"/>
          <w:u w:val="single"/>
        </w:rPr>
        <w:t>日</w:t>
      </w:r>
    </w:p>
    <w:p>
      <w:pPr>
        <w:spacing w:after="947" w:line="265" w:lineRule="auto"/>
        <w:ind w:left="166" w:hanging="10"/>
        <w:rPr>
          <w:color w:val="auto"/>
        </w:rPr>
      </w:pPr>
      <w:r>
        <w:rPr>
          <w:rFonts w:ascii="黑体" w:hAnsi="黑体" w:eastAsia="黑体" w:cs="黑体"/>
          <w:color w:val="auto"/>
          <w:sz w:val="32"/>
        </w:rPr>
        <w:t>附件</w:t>
      </w:r>
      <w:r>
        <w:rPr>
          <w:rFonts w:ascii="Times New Roman" w:hAnsi="Times New Roman" w:eastAsia="Times New Roman" w:cs="Times New Roman"/>
          <w:color w:val="auto"/>
          <w:sz w:val="32"/>
        </w:rPr>
        <w:t>3</w:t>
      </w:r>
      <w:r>
        <w:rPr>
          <w:rFonts w:ascii="黑体" w:hAnsi="黑体" w:eastAsia="黑体" w:cs="黑体"/>
          <w:color w:val="auto"/>
          <w:sz w:val="32"/>
        </w:rPr>
        <w:t>：问题澄清通知</w:t>
      </w:r>
    </w:p>
    <w:p>
      <w:pPr>
        <w:spacing w:after="57" w:line="265" w:lineRule="auto"/>
        <w:ind w:left="641" w:right="842" w:hanging="10"/>
        <w:jc w:val="center"/>
        <w:rPr>
          <w:color w:val="auto"/>
        </w:rPr>
      </w:pPr>
      <w:r>
        <w:rPr>
          <w:rFonts w:ascii="黑体" w:hAnsi="黑体" w:eastAsia="黑体" w:cs="黑体"/>
          <w:color w:val="auto"/>
          <w:sz w:val="28"/>
        </w:rPr>
        <w:t>问题澄清通知</w:t>
      </w:r>
    </w:p>
    <w:p>
      <w:pPr>
        <w:tabs>
          <w:tab w:val="center" w:pos="3498"/>
          <w:tab w:val="center" w:pos="4812"/>
        </w:tabs>
        <w:spacing w:after="646" w:line="265" w:lineRule="auto"/>
        <w:ind w:left="0" w:firstLine="0"/>
        <w:rPr>
          <w:color w:val="auto"/>
        </w:rPr>
      </w:pPr>
      <w:r>
        <w:rPr>
          <w:rFonts w:ascii="Calibri" w:hAnsi="Calibri" w:eastAsia="Calibri" w:cs="Calibri"/>
          <w:color w:val="auto"/>
          <w:sz w:val="22"/>
        </w:rPr>
        <w:tab/>
      </w:r>
      <w:r>
        <w:rPr>
          <w:color w:val="auto"/>
        </w:rPr>
        <w:t>（编号：</w:t>
      </w:r>
      <w:r>
        <w:rPr>
          <w:color w:val="auto"/>
          <w:u w:val="single"/>
        </w:rPr>
        <w:t xml:space="preserve">      </w:t>
      </w:r>
      <w:r>
        <w:rPr>
          <w:color w:val="auto"/>
        </w:rPr>
        <w:t>）</w:t>
      </w:r>
    </w:p>
    <w:p>
      <w:pPr>
        <w:spacing w:after="619"/>
        <w:ind w:left="-6"/>
        <w:rPr>
          <w:color w:val="auto"/>
        </w:rPr>
      </w:pPr>
      <w:r>
        <w:rPr>
          <w:color w:val="auto"/>
          <w:u w:val="single"/>
        </w:rPr>
        <w:t xml:space="preserve">                </w:t>
      </w:r>
      <w:r>
        <w:rPr>
          <w:color w:val="auto"/>
        </w:rPr>
        <w:t>（投标人名称）：</w:t>
      </w:r>
    </w:p>
    <w:p>
      <w:pPr>
        <w:spacing w:line="405" w:lineRule="auto"/>
        <w:ind w:left="-15" w:firstLine="420"/>
        <w:rPr>
          <w:color w:val="auto"/>
        </w:rPr>
      </w:pPr>
      <w:r>
        <w:rPr>
          <w:color w:val="auto"/>
        </w:rPr>
        <w:t>评标委员会对你方的投标文件进行了仔细的审查，现需你方对下列问题以书面形式予以澄清、说明或补正：</w:t>
      </w:r>
    </w:p>
    <w:p>
      <w:pPr>
        <w:spacing w:after="196" w:line="263" w:lineRule="auto"/>
        <w:ind w:left="415" w:hanging="10"/>
        <w:jc w:val="both"/>
        <w:rPr>
          <w:color w:val="auto"/>
        </w:rPr>
      </w:pPr>
      <w:r>
        <w:rPr>
          <w:rFonts w:ascii="Times New Roman" w:hAnsi="Times New Roman" w:eastAsia="Times New Roman" w:cs="Times New Roman"/>
          <w:color w:val="auto"/>
        </w:rPr>
        <w:t>1.2</w:t>
      </w:r>
      <w:r>
        <w:rPr>
          <w:color w:val="auto"/>
          <w:u w:val="single"/>
        </w:rPr>
        <w:t xml:space="preserve">                                    </w:t>
      </w:r>
      <w:r>
        <w:rPr>
          <w:rFonts w:ascii="Times New Roman" w:hAnsi="Times New Roman" w:eastAsia="Times New Roman" w:cs="Times New Roman"/>
          <w:color w:val="auto"/>
        </w:rPr>
        <w:t>......</w:t>
      </w:r>
    </w:p>
    <w:p>
      <w:pPr>
        <w:tabs>
          <w:tab w:val="center" w:pos="2099"/>
          <w:tab w:val="center" w:pos="4828"/>
          <w:tab w:val="center" w:pos="5985"/>
          <w:tab w:val="right" w:pos="8995"/>
        </w:tabs>
        <w:spacing w:after="179"/>
        <w:ind w:left="0" w:firstLine="0"/>
        <w:rPr>
          <w:color w:val="auto"/>
        </w:rPr>
      </w:pPr>
      <w:r>
        <w:rPr>
          <w:rFonts w:ascii="Calibri" w:hAnsi="Calibri" w:eastAsia="Calibri" w:cs="Calibri"/>
          <w:color w:val="auto"/>
          <w:sz w:val="22"/>
        </w:rPr>
        <w:tab/>
      </w:r>
      <w:r>
        <w:rPr>
          <w:color w:val="auto"/>
        </w:rPr>
        <w:t>请将上述问题的澄清、说明或补正于</w:t>
      </w:r>
      <w:r>
        <w:rPr>
          <w:color w:val="auto"/>
          <w:u w:val="single"/>
        </w:rPr>
        <w:t xml:space="preserve">      </w:t>
      </w:r>
      <w:r>
        <w:rPr>
          <w:color w:val="auto"/>
        </w:rPr>
        <w:t>年</w:t>
      </w:r>
      <w:r>
        <w:rPr>
          <w:color w:val="auto"/>
          <w:u w:val="single"/>
        </w:rPr>
        <w:t xml:space="preserve">      </w:t>
      </w:r>
      <w:r>
        <w:rPr>
          <w:color w:val="auto"/>
        </w:rPr>
        <w:tab/>
      </w:r>
      <w:r>
        <w:rPr>
          <w:color w:val="auto"/>
        </w:rPr>
        <w:t>月</w:t>
      </w:r>
      <w:r>
        <w:rPr>
          <w:color w:val="auto"/>
          <w:u w:val="single"/>
        </w:rPr>
        <w:t xml:space="preserve">      </w:t>
      </w:r>
      <w:r>
        <w:rPr>
          <w:color w:val="auto"/>
        </w:rPr>
        <w:t>日时前递交至</w:t>
      </w:r>
      <w:r>
        <w:rPr>
          <w:color w:val="auto"/>
          <w:u w:val="single"/>
        </w:rPr>
        <w:t xml:space="preserve">          </w:t>
      </w:r>
    </w:p>
    <w:p>
      <w:pPr>
        <w:ind w:left="-6"/>
        <w:rPr>
          <w:color w:val="auto"/>
        </w:rPr>
      </w:pPr>
      <w:r>
        <w:rPr>
          <w:color w:val="auto"/>
        </w:rPr>
        <w:t>（详细地址）。</w:t>
      </w:r>
    </w:p>
    <w:p>
      <w:pPr>
        <w:pStyle w:val="2"/>
      </w:pPr>
    </w:p>
    <w:p>
      <w:pPr>
        <w:tabs>
          <w:tab w:val="center" w:pos="4024"/>
          <w:tab w:val="center" w:pos="5495"/>
          <w:tab w:val="right" w:pos="8995"/>
        </w:tabs>
        <w:spacing w:after="120" w:afterLines="50" w:line="360" w:lineRule="auto"/>
        <w:ind w:left="-17" w:firstLine="0"/>
        <w:rPr>
          <w:color w:val="auto"/>
        </w:rPr>
      </w:pPr>
    </w:p>
    <w:p>
      <w:pPr>
        <w:tabs>
          <w:tab w:val="center" w:pos="4024"/>
          <w:tab w:val="center" w:pos="5495"/>
          <w:tab w:val="right" w:pos="8995"/>
        </w:tabs>
        <w:spacing w:after="120" w:afterLines="50" w:line="360" w:lineRule="auto"/>
        <w:ind w:left="-15" w:firstLine="0"/>
        <w:rPr>
          <w:color w:val="auto"/>
        </w:rPr>
      </w:pPr>
      <w:r>
        <w:rPr>
          <w:rFonts w:hint="eastAsia"/>
          <w:color w:val="auto"/>
        </w:rPr>
        <w:t>评标委员会授权的</w:t>
      </w:r>
      <w:r>
        <w:rPr>
          <w:rFonts w:hint="eastAsia"/>
          <w:color w:val="auto"/>
          <w:lang w:eastAsia="zh-CN"/>
        </w:rPr>
        <w:t>招议标</w:t>
      </w:r>
      <w:r>
        <w:rPr>
          <w:rFonts w:hint="eastAsia"/>
          <w:color w:val="auto"/>
        </w:rPr>
        <w:t xml:space="preserve">人： </w:t>
      </w:r>
      <w:r>
        <w:rPr>
          <w:color w:val="auto"/>
        </w:rPr>
        <w:t xml:space="preserve">        </w:t>
      </w:r>
      <w:r>
        <w:rPr>
          <w:rFonts w:hint="eastAsia"/>
          <w:color w:val="auto"/>
        </w:rPr>
        <w:t>（签字或盖章）</w:t>
      </w:r>
    </w:p>
    <w:p>
      <w:pPr>
        <w:tabs>
          <w:tab w:val="center" w:pos="4024"/>
          <w:tab w:val="center" w:pos="5495"/>
          <w:tab w:val="right" w:pos="8995"/>
        </w:tabs>
        <w:spacing w:after="120" w:afterLines="50" w:line="360" w:lineRule="auto"/>
        <w:ind w:left="-15" w:firstLine="0"/>
        <w:jc w:val="right"/>
        <w:rPr>
          <w:color w:val="auto"/>
        </w:rPr>
      </w:pPr>
      <w:r>
        <w:rPr>
          <w:color w:val="auto"/>
          <w:u w:val="single"/>
        </w:rPr>
        <w:t xml:space="preserve">     </w:t>
      </w:r>
      <w:r>
        <w:rPr>
          <w:rFonts w:hint="eastAsia"/>
          <w:color w:val="auto"/>
          <w:u w:val="single"/>
        </w:rPr>
        <w:t>年</w:t>
      </w:r>
      <w:r>
        <w:rPr>
          <w:color w:val="auto"/>
          <w:u w:val="single"/>
        </w:rPr>
        <w:t xml:space="preserve">      </w:t>
      </w:r>
      <w:r>
        <w:rPr>
          <w:color w:val="auto"/>
        </w:rPr>
        <w:t>月</w:t>
      </w:r>
      <w:r>
        <w:rPr>
          <w:color w:val="auto"/>
          <w:u w:val="single"/>
        </w:rPr>
        <w:t xml:space="preserve">     </w:t>
      </w:r>
      <w:r>
        <w:rPr>
          <w:color w:val="auto"/>
        </w:rPr>
        <w:t>日</w:t>
      </w:r>
    </w:p>
    <w:p>
      <w:pPr>
        <w:tabs>
          <w:tab w:val="center" w:pos="4024"/>
          <w:tab w:val="center" w:pos="5495"/>
          <w:tab w:val="right" w:pos="8995"/>
        </w:tabs>
        <w:spacing w:after="120" w:afterLines="50" w:line="360" w:lineRule="auto"/>
        <w:ind w:left="-15" w:firstLine="0"/>
        <w:jc w:val="right"/>
        <w:rPr>
          <w:color w:val="auto"/>
        </w:rPr>
      </w:pPr>
    </w:p>
    <w:p>
      <w:pPr>
        <w:spacing w:after="946" w:line="265" w:lineRule="auto"/>
        <w:ind w:left="166" w:hanging="10"/>
        <w:rPr>
          <w:rFonts w:ascii="黑体" w:hAnsi="黑体" w:eastAsia="黑体" w:cs="黑体"/>
          <w:color w:val="auto"/>
          <w:sz w:val="32"/>
        </w:rPr>
      </w:pPr>
    </w:p>
    <w:p>
      <w:pPr>
        <w:spacing w:after="946" w:line="265" w:lineRule="auto"/>
        <w:ind w:left="166" w:hanging="10"/>
        <w:rPr>
          <w:rFonts w:ascii="黑体" w:hAnsi="黑体" w:eastAsia="黑体" w:cs="黑体"/>
          <w:color w:val="auto"/>
          <w:sz w:val="32"/>
        </w:rPr>
      </w:pPr>
    </w:p>
    <w:p>
      <w:pPr>
        <w:spacing w:after="946" w:line="265" w:lineRule="auto"/>
        <w:ind w:left="166" w:hanging="10"/>
        <w:rPr>
          <w:rFonts w:ascii="黑体" w:hAnsi="黑体" w:eastAsia="黑体" w:cs="黑体"/>
          <w:color w:val="auto"/>
          <w:sz w:val="32"/>
        </w:rPr>
      </w:pPr>
    </w:p>
    <w:p>
      <w:pPr>
        <w:spacing w:after="946" w:line="265" w:lineRule="auto"/>
        <w:ind w:left="166" w:hanging="10"/>
        <w:rPr>
          <w:rFonts w:ascii="黑体" w:hAnsi="黑体" w:eastAsia="黑体" w:cs="黑体"/>
          <w:color w:val="auto"/>
          <w:sz w:val="32"/>
        </w:rPr>
      </w:pPr>
    </w:p>
    <w:p>
      <w:pPr>
        <w:spacing w:after="946" w:line="265" w:lineRule="auto"/>
        <w:ind w:left="166" w:hanging="10"/>
        <w:rPr>
          <w:color w:val="auto"/>
        </w:rPr>
      </w:pPr>
      <w:r>
        <w:rPr>
          <w:rFonts w:ascii="黑体" w:hAnsi="黑体" w:eastAsia="黑体" w:cs="黑体"/>
          <w:color w:val="auto"/>
          <w:sz w:val="32"/>
        </w:rPr>
        <w:t>附件</w:t>
      </w:r>
      <w:r>
        <w:rPr>
          <w:rFonts w:ascii="Times New Roman" w:hAnsi="Times New Roman" w:eastAsia="Times New Roman" w:cs="Times New Roman"/>
          <w:color w:val="auto"/>
          <w:sz w:val="32"/>
        </w:rPr>
        <w:t>4</w:t>
      </w:r>
      <w:r>
        <w:rPr>
          <w:rFonts w:ascii="黑体" w:hAnsi="黑体" w:eastAsia="黑体" w:cs="黑体"/>
          <w:color w:val="auto"/>
          <w:sz w:val="32"/>
        </w:rPr>
        <w:t>：问题的澄清</w:t>
      </w:r>
    </w:p>
    <w:p>
      <w:pPr>
        <w:spacing w:after="60" w:line="265" w:lineRule="auto"/>
        <w:ind w:left="641" w:right="838" w:hanging="10"/>
        <w:jc w:val="center"/>
        <w:rPr>
          <w:color w:val="auto"/>
        </w:rPr>
      </w:pPr>
      <w:r>
        <w:rPr>
          <w:rFonts w:ascii="黑体" w:hAnsi="黑体" w:eastAsia="黑体" w:cs="黑体"/>
          <w:color w:val="auto"/>
          <w:sz w:val="28"/>
        </w:rPr>
        <w:t>问题的澄清</w:t>
      </w:r>
    </w:p>
    <w:p>
      <w:pPr>
        <w:spacing w:after="619"/>
        <w:ind w:left="-6"/>
        <w:rPr>
          <w:color w:val="auto"/>
        </w:rPr>
      </w:pPr>
      <w:r>
        <w:rPr>
          <w:color w:val="auto"/>
        </w:rPr>
        <w:t>评标委员会：</w:t>
      </w:r>
    </w:p>
    <w:p>
      <w:pPr>
        <w:spacing w:after="155"/>
        <w:ind w:left="429"/>
        <w:rPr>
          <w:color w:val="auto"/>
        </w:rPr>
      </w:pPr>
      <w:r>
        <w:rPr>
          <w:color w:val="auto"/>
        </w:rPr>
        <w:t>问题澄清通知已收悉，现澄清、说明或补正如下：</w:t>
      </w:r>
    </w:p>
    <w:p>
      <w:pPr>
        <w:spacing w:after="919" w:line="407" w:lineRule="auto"/>
        <w:ind w:left="-15" w:firstLine="420"/>
        <w:rPr>
          <w:color w:val="auto"/>
        </w:rPr>
      </w:pPr>
      <w:r>
        <w:rPr>
          <w:rFonts w:hint="eastAsia"/>
          <w:color w:val="auto"/>
        </w:rPr>
        <w:t>1</w:t>
      </w:r>
      <w:r>
        <w:rPr>
          <w:color w:val="auto"/>
        </w:rPr>
        <w:t>.2</w:t>
      </w:r>
      <w:r>
        <w:rPr>
          <w:color w:val="auto"/>
          <w:u w:val="single"/>
        </w:rPr>
        <w:t xml:space="preserve">                                                    </w:t>
      </w:r>
      <w:r>
        <w:rPr>
          <w:rFonts w:hint="eastAsia"/>
          <w:color w:val="auto"/>
          <w:u w:val="single"/>
        </w:rPr>
        <w:t>……</w:t>
      </w:r>
    </w:p>
    <w:p>
      <w:pPr>
        <w:spacing w:after="919" w:line="407" w:lineRule="auto"/>
        <w:ind w:left="-15" w:firstLine="420"/>
        <w:rPr>
          <w:color w:val="auto"/>
        </w:rPr>
      </w:pPr>
      <w:r>
        <w:rPr>
          <w:color w:val="auto"/>
        </w:rPr>
        <w:t>上述问题澄清、说明或补正，不改变我方投标文件的实质性内容，构成我方投标文件的组成部分。</w:t>
      </w:r>
    </w:p>
    <w:p>
      <w:pPr>
        <w:tabs>
          <w:tab w:val="center" w:pos="2728"/>
          <w:tab w:val="right" w:pos="8995"/>
        </w:tabs>
        <w:spacing w:after="642" w:line="265" w:lineRule="auto"/>
        <w:ind w:left="0" w:firstLine="0"/>
        <w:jc w:val="right"/>
        <w:rPr>
          <w:color w:val="auto"/>
        </w:rPr>
      </w:pPr>
      <w:r>
        <w:rPr>
          <w:rFonts w:ascii="Calibri" w:hAnsi="Calibri" w:eastAsia="Calibri" w:cs="Calibri"/>
          <w:color w:val="auto"/>
          <w:sz w:val="22"/>
        </w:rPr>
        <w:tab/>
      </w:r>
      <w:r>
        <w:rPr>
          <w:color w:val="auto"/>
        </w:rPr>
        <w:t>投标人：</w:t>
      </w:r>
      <w:r>
        <w:rPr>
          <w:color w:val="auto"/>
          <w:u w:val="single"/>
        </w:rPr>
        <w:t xml:space="preserve">                                       </w:t>
      </w:r>
      <w:r>
        <w:rPr>
          <w:color w:val="auto"/>
        </w:rPr>
        <w:t>（盖单位章）</w:t>
      </w:r>
    </w:p>
    <w:p>
      <w:pPr>
        <w:tabs>
          <w:tab w:val="center" w:pos="4374"/>
          <w:tab w:val="right" w:pos="8995"/>
        </w:tabs>
        <w:spacing w:after="644" w:line="265" w:lineRule="auto"/>
        <w:ind w:left="0" w:firstLine="0"/>
        <w:jc w:val="right"/>
        <w:rPr>
          <w:color w:val="auto"/>
        </w:rPr>
      </w:pPr>
      <w:r>
        <w:rPr>
          <w:rFonts w:ascii="Calibri" w:hAnsi="Calibri" w:eastAsia="Calibri" w:cs="Calibri"/>
          <w:color w:val="auto"/>
          <w:sz w:val="22"/>
        </w:rPr>
        <w:tab/>
      </w:r>
      <w:r>
        <w:rPr>
          <w:color w:val="auto"/>
        </w:rPr>
        <w:t>法定代表人（单位负责人）或其委托代理人：</w:t>
      </w:r>
      <w:r>
        <w:rPr>
          <w:color w:val="auto"/>
          <w:u w:val="single"/>
        </w:rPr>
        <w:t xml:space="preserve">             </w:t>
      </w:r>
      <w:r>
        <w:rPr>
          <w:color w:val="auto"/>
        </w:rPr>
        <w:t>（签字）</w:t>
      </w:r>
    </w:p>
    <w:p>
      <w:pPr>
        <w:tabs>
          <w:tab w:val="center" w:pos="4374"/>
          <w:tab w:val="right" w:pos="8995"/>
        </w:tabs>
        <w:spacing w:after="644" w:line="265" w:lineRule="auto"/>
        <w:ind w:left="0" w:firstLine="0"/>
        <w:jc w:val="right"/>
        <w:rPr>
          <w:color w:val="auto"/>
          <w:u w:val="single"/>
        </w:rPr>
      </w:pPr>
      <w:r>
        <w:rPr>
          <w:color w:val="auto"/>
          <w:u w:val="single"/>
        </w:rPr>
        <w:t xml:space="preserve">             </w:t>
      </w:r>
      <w:r>
        <w:rPr>
          <w:rFonts w:hint="eastAsia"/>
          <w:color w:val="auto"/>
          <w:u w:val="single"/>
        </w:rPr>
        <w:t xml:space="preserve">年 </w:t>
      </w:r>
      <w:r>
        <w:rPr>
          <w:color w:val="auto"/>
          <w:u w:val="single"/>
        </w:rPr>
        <w:t xml:space="preserve">    </w:t>
      </w:r>
      <w:r>
        <w:rPr>
          <w:rFonts w:hint="eastAsia"/>
          <w:color w:val="auto"/>
          <w:u w:val="single"/>
        </w:rPr>
        <w:t xml:space="preserve">月 </w:t>
      </w:r>
      <w:r>
        <w:rPr>
          <w:color w:val="auto"/>
          <w:u w:val="single"/>
        </w:rPr>
        <w:t xml:space="preserve">   </w:t>
      </w:r>
      <w:r>
        <w:rPr>
          <w:rFonts w:hint="eastAsia"/>
          <w:color w:val="auto"/>
          <w:u w:val="single"/>
        </w:rPr>
        <w:t>日</w:t>
      </w:r>
    </w:p>
    <w:p>
      <w:pPr>
        <w:spacing w:after="696" w:line="265" w:lineRule="auto"/>
        <w:ind w:left="-5" w:hanging="10"/>
        <w:rPr>
          <w:rFonts w:ascii="黑体" w:hAnsi="黑体" w:eastAsia="黑体" w:cs="黑体"/>
          <w:color w:val="auto"/>
          <w:sz w:val="32"/>
        </w:rPr>
      </w:pPr>
    </w:p>
    <w:p>
      <w:pPr>
        <w:spacing w:after="696" w:line="265" w:lineRule="auto"/>
        <w:ind w:left="-5" w:hanging="10"/>
        <w:rPr>
          <w:rFonts w:ascii="黑体" w:hAnsi="黑体" w:eastAsia="黑体" w:cs="黑体"/>
          <w:color w:val="auto"/>
          <w:sz w:val="32"/>
        </w:rPr>
      </w:pPr>
    </w:p>
    <w:p>
      <w:pPr>
        <w:spacing w:after="696" w:line="265" w:lineRule="auto"/>
        <w:ind w:left="-5" w:hanging="10"/>
        <w:rPr>
          <w:rFonts w:ascii="黑体" w:hAnsi="黑体" w:eastAsia="黑体" w:cs="黑体"/>
          <w:color w:val="auto"/>
          <w:sz w:val="32"/>
        </w:rPr>
      </w:pPr>
    </w:p>
    <w:p>
      <w:pPr>
        <w:spacing w:after="696" w:line="265" w:lineRule="auto"/>
        <w:ind w:left="-5" w:hanging="10"/>
        <w:rPr>
          <w:rFonts w:ascii="黑体" w:hAnsi="黑体" w:eastAsia="黑体" w:cs="黑体"/>
          <w:color w:val="auto"/>
          <w:sz w:val="32"/>
        </w:rPr>
      </w:pPr>
    </w:p>
    <w:p>
      <w:pPr>
        <w:spacing w:after="696" w:line="265" w:lineRule="auto"/>
        <w:ind w:left="-5" w:hanging="10"/>
        <w:rPr>
          <w:color w:val="auto"/>
        </w:rPr>
      </w:pPr>
      <w:r>
        <w:rPr>
          <w:rFonts w:ascii="黑体" w:hAnsi="黑体" w:eastAsia="黑体" w:cs="黑体"/>
          <w:color w:val="auto"/>
          <w:sz w:val="32"/>
        </w:rPr>
        <w:t>附件5：中标候选人公示</w:t>
      </w:r>
    </w:p>
    <w:p>
      <w:pPr>
        <w:spacing w:after="368" w:line="265" w:lineRule="auto"/>
        <w:ind w:left="132" w:hanging="10"/>
        <w:rPr>
          <w:color w:val="auto"/>
        </w:rPr>
      </w:pPr>
      <w:r>
        <w:rPr>
          <w:color w:val="auto"/>
          <w:u w:val="single"/>
        </w:rPr>
        <w:t xml:space="preserve">             </w:t>
      </w:r>
      <w:r>
        <w:rPr>
          <w:rFonts w:ascii="黑体" w:hAnsi="黑体" w:eastAsia="黑体" w:cs="黑体"/>
          <w:color w:val="auto"/>
          <w:sz w:val="28"/>
        </w:rPr>
        <w:t>（项目名称）中标候选人公示</w:t>
      </w:r>
    </w:p>
    <w:p>
      <w:pPr>
        <w:spacing w:after="158" w:line="265" w:lineRule="auto"/>
        <w:ind w:left="10" w:right="216" w:hanging="10"/>
        <w:jc w:val="both"/>
        <w:rPr>
          <w:color w:val="auto"/>
        </w:rPr>
      </w:pPr>
      <w:r>
        <w:rPr>
          <w:color w:val="auto"/>
        </w:rPr>
        <w:t>根据</w:t>
      </w:r>
      <w:r>
        <w:rPr>
          <w:rFonts w:hint="eastAsia"/>
          <w:color w:val="auto"/>
          <w:lang w:eastAsia="zh-CN"/>
        </w:rPr>
        <w:t>招议标</w:t>
      </w:r>
      <w:r>
        <w:rPr>
          <w:color w:val="auto"/>
        </w:rPr>
        <w:t>投标相关法律法规及</w:t>
      </w:r>
      <w:r>
        <w:rPr>
          <w:rFonts w:hint="eastAsia"/>
          <w:color w:val="auto"/>
          <w:lang w:eastAsia="zh-CN"/>
        </w:rPr>
        <w:t>招议标</w:t>
      </w:r>
      <w:r>
        <w:rPr>
          <w:color w:val="auto"/>
        </w:rPr>
        <w:t>文件的规定，</w:t>
      </w:r>
      <w:r>
        <w:rPr>
          <w:color w:val="auto"/>
          <w:u w:val="single"/>
        </w:rPr>
        <w:t xml:space="preserve"> </w:t>
      </w:r>
      <w:r>
        <w:rPr>
          <w:rFonts w:hint="eastAsia"/>
          <w:color w:val="auto"/>
          <w:u w:val="single"/>
        </w:rPr>
        <w:t>（项目名称）</w:t>
      </w:r>
      <w:r>
        <w:rPr>
          <w:color w:val="auto"/>
        </w:rPr>
        <w:t>评标工作已经结束，评标委员会</w:t>
      </w:r>
    </w:p>
    <w:p>
      <w:pPr>
        <w:spacing w:after="31"/>
        <w:ind w:left="-6"/>
        <w:rPr>
          <w:color w:val="auto"/>
        </w:rPr>
      </w:pPr>
      <w:r>
        <w:rPr>
          <w:color w:val="auto"/>
        </w:rPr>
        <w:t>推荐了以下</w:t>
      </w:r>
      <w:r>
        <w:rPr>
          <w:color w:val="auto"/>
          <w:u w:val="single"/>
        </w:rPr>
        <w:t>__   _</w:t>
      </w:r>
      <w:r>
        <w:rPr>
          <w:color w:val="auto"/>
        </w:rPr>
        <w:t>名中标候选人，现将相关信息予以公示。</w:t>
      </w:r>
    </w:p>
    <w:p>
      <w:pPr>
        <w:pStyle w:val="8"/>
        <w:spacing w:after="0" w:line="259" w:lineRule="auto"/>
        <w:ind w:left="0" w:right="211" w:firstLine="0"/>
        <w:jc w:val="center"/>
        <w:rPr>
          <w:color w:val="auto"/>
        </w:rPr>
      </w:pPr>
      <w:r>
        <w:rPr>
          <w:rFonts w:ascii="宋体" w:hAnsi="宋体" w:eastAsia="宋体" w:cs="宋体"/>
          <w:color w:val="auto"/>
          <w:sz w:val="24"/>
        </w:rPr>
        <w:t>中标候选人信息</w:t>
      </w:r>
    </w:p>
    <w:tbl>
      <w:tblPr>
        <w:tblStyle w:val="28"/>
        <w:tblW w:w="9221" w:type="dxa"/>
        <w:tblInd w:w="-382" w:type="dxa"/>
        <w:tblLayout w:type="fixed"/>
        <w:tblCellMar>
          <w:top w:w="0" w:type="dxa"/>
          <w:left w:w="108" w:type="dxa"/>
          <w:bottom w:w="0" w:type="dxa"/>
          <w:right w:w="25" w:type="dxa"/>
        </w:tblCellMar>
      </w:tblPr>
      <w:tblGrid>
        <w:gridCol w:w="3071"/>
        <w:gridCol w:w="1541"/>
        <w:gridCol w:w="1541"/>
        <w:gridCol w:w="1584"/>
        <w:gridCol w:w="1484"/>
      </w:tblGrid>
      <w:tr>
        <w:tblPrEx>
          <w:tblCellMar>
            <w:top w:w="0" w:type="dxa"/>
            <w:left w:w="108" w:type="dxa"/>
            <w:bottom w:w="0" w:type="dxa"/>
            <w:right w:w="25" w:type="dxa"/>
          </w:tblCellMar>
        </w:tblPrEx>
        <w:trPr>
          <w:trHeight w:val="619" w:hRule="atLeast"/>
        </w:trPr>
        <w:tc>
          <w:tcPr>
            <w:tcW w:w="3071" w:type="dxa"/>
            <w:tcBorders>
              <w:top w:val="single" w:color="000000" w:sz="8" w:space="0"/>
              <w:left w:val="single" w:color="000000" w:sz="8" w:space="0"/>
              <w:bottom w:val="single" w:color="000000" w:sz="8" w:space="0"/>
              <w:right w:val="single" w:color="000000" w:sz="8" w:space="0"/>
            </w:tcBorders>
            <w:vAlign w:val="center"/>
          </w:tcPr>
          <w:p>
            <w:pPr>
              <w:spacing w:after="0" w:line="259" w:lineRule="auto"/>
              <w:ind w:left="0" w:right="82" w:firstLine="0"/>
              <w:jc w:val="center"/>
              <w:rPr>
                <w:color w:val="auto"/>
              </w:rPr>
            </w:pPr>
            <w:r>
              <w:rPr>
                <w:color w:val="auto"/>
              </w:rPr>
              <w:t>中标候选人</w:t>
            </w:r>
          </w:p>
        </w:tc>
        <w:tc>
          <w:tcPr>
            <w:tcW w:w="1541" w:type="dxa"/>
            <w:tcBorders>
              <w:top w:val="single" w:color="000000" w:sz="8" w:space="0"/>
              <w:left w:val="single" w:color="000000" w:sz="8" w:space="0"/>
              <w:bottom w:val="single" w:color="000000" w:sz="8" w:space="0"/>
              <w:right w:val="single" w:color="000000" w:sz="8" w:space="0"/>
            </w:tcBorders>
            <w:vAlign w:val="center"/>
          </w:tcPr>
          <w:p>
            <w:pPr>
              <w:spacing w:after="0" w:line="259" w:lineRule="auto"/>
              <w:ind w:left="0" w:right="83" w:firstLine="0"/>
              <w:jc w:val="center"/>
              <w:rPr>
                <w:color w:val="auto"/>
              </w:rPr>
            </w:pPr>
            <w:r>
              <w:rPr>
                <w:color w:val="auto"/>
              </w:rPr>
              <w:t>候选人</w:t>
            </w:r>
            <w:r>
              <w:rPr>
                <w:rFonts w:hint="eastAsia"/>
                <w:color w:val="auto"/>
              </w:rPr>
              <w:t>1</w:t>
            </w:r>
          </w:p>
        </w:tc>
        <w:tc>
          <w:tcPr>
            <w:tcW w:w="1541" w:type="dxa"/>
            <w:tcBorders>
              <w:top w:val="single" w:color="000000" w:sz="8" w:space="0"/>
              <w:left w:val="single" w:color="000000" w:sz="8" w:space="0"/>
              <w:bottom w:val="single" w:color="000000" w:sz="8" w:space="0"/>
              <w:right w:val="single" w:color="000000" w:sz="4" w:space="0"/>
            </w:tcBorders>
            <w:vAlign w:val="center"/>
          </w:tcPr>
          <w:p>
            <w:pPr>
              <w:spacing w:after="0" w:line="259" w:lineRule="auto"/>
              <w:ind w:left="0" w:right="84" w:firstLine="0"/>
              <w:jc w:val="center"/>
              <w:rPr>
                <w:color w:val="auto"/>
              </w:rPr>
            </w:pPr>
            <w:r>
              <w:rPr>
                <w:color w:val="auto"/>
              </w:rPr>
              <w:t>候选人</w:t>
            </w:r>
            <w:r>
              <w:rPr>
                <w:rFonts w:hint="eastAsia"/>
                <w:color w:val="auto"/>
              </w:rPr>
              <w:t>2</w:t>
            </w:r>
          </w:p>
        </w:tc>
        <w:tc>
          <w:tcPr>
            <w:tcW w:w="1584" w:type="dxa"/>
            <w:tcBorders>
              <w:top w:val="single" w:color="000000" w:sz="8" w:space="0"/>
              <w:left w:val="single" w:color="000000" w:sz="4" w:space="0"/>
              <w:bottom w:val="single" w:color="000000" w:sz="8" w:space="0"/>
              <w:right w:val="single" w:color="000000" w:sz="8" w:space="0"/>
            </w:tcBorders>
            <w:vAlign w:val="center"/>
          </w:tcPr>
          <w:p>
            <w:pPr>
              <w:spacing w:after="0" w:line="259" w:lineRule="auto"/>
              <w:ind w:left="0" w:right="86" w:firstLine="0"/>
              <w:jc w:val="center"/>
              <w:rPr>
                <w:color w:val="auto"/>
              </w:rPr>
            </w:pPr>
            <w:r>
              <w:rPr>
                <w:rFonts w:ascii="Times New Roman" w:hAnsi="Times New Roman" w:eastAsia="Times New Roman" w:cs="Times New Roman"/>
                <w:b/>
                <w:color w:val="auto"/>
              </w:rPr>
              <w:t>……</w:t>
            </w:r>
          </w:p>
        </w:tc>
        <w:tc>
          <w:tcPr>
            <w:tcW w:w="1484" w:type="dxa"/>
            <w:tcBorders>
              <w:top w:val="single" w:color="000000" w:sz="8" w:space="0"/>
              <w:left w:val="single" w:color="000000" w:sz="8" w:space="0"/>
              <w:bottom w:val="single" w:color="000000" w:sz="8" w:space="0"/>
              <w:right w:val="single" w:color="000000" w:sz="8" w:space="0"/>
            </w:tcBorders>
            <w:vAlign w:val="center"/>
          </w:tcPr>
          <w:p>
            <w:pPr>
              <w:spacing w:after="0" w:line="259" w:lineRule="auto"/>
              <w:ind w:left="0" w:right="87" w:firstLine="0"/>
              <w:jc w:val="center"/>
              <w:rPr>
                <w:color w:val="auto"/>
              </w:rPr>
            </w:pPr>
            <w:r>
              <w:rPr>
                <w:rFonts w:ascii="Times New Roman" w:hAnsi="Times New Roman" w:eastAsia="Times New Roman" w:cs="Times New Roman"/>
                <w:b/>
                <w:color w:val="auto"/>
              </w:rPr>
              <w:t>……</w:t>
            </w:r>
          </w:p>
        </w:tc>
      </w:tr>
      <w:tr>
        <w:tblPrEx>
          <w:tblCellMar>
            <w:top w:w="0" w:type="dxa"/>
            <w:left w:w="108" w:type="dxa"/>
            <w:bottom w:w="0" w:type="dxa"/>
            <w:right w:w="25" w:type="dxa"/>
          </w:tblCellMar>
        </w:tblPrEx>
        <w:trPr>
          <w:trHeight w:val="619" w:hRule="atLeast"/>
        </w:trPr>
        <w:tc>
          <w:tcPr>
            <w:tcW w:w="3071" w:type="dxa"/>
            <w:tcBorders>
              <w:top w:val="single" w:color="000000" w:sz="8" w:space="0"/>
              <w:left w:val="single" w:color="000000" w:sz="8" w:space="0"/>
              <w:bottom w:val="single" w:color="000000" w:sz="8" w:space="0"/>
              <w:right w:val="single" w:color="000000" w:sz="8" w:space="0"/>
            </w:tcBorders>
            <w:vAlign w:val="center"/>
          </w:tcPr>
          <w:p>
            <w:pPr>
              <w:spacing w:after="0" w:line="259" w:lineRule="auto"/>
              <w:ind w:left="0" w:right="86" w:firstLine="0"/>
              <w:jc w:val="center"/>
              <w:rPr>
                <w:color w:val="auto"/>
              </w:rPr>
            </w:pPr>
            <w:r>
              <w:rPr>
                <w:color w:val="auto"/>
              </w:rPr>
              <w:t>中标候选人名称</w:t>
            </w:r>
          </w:p>
        </w:tc>
        <w:tc>
          <w:tcPr>
            <w:tcW w:w="1541" w:type="dxa"/>
            <w:tcBorders>
              <w:top w:val="single" w:color="000000" w:sz="8" w:space="0"/>
              <w:left w:val="single" w:color="000000" w:sz="8" w:space="0"/>
              <w:bottom w:val="single" w:color="000000" w:sz="8" w:space="0"/>
              <w:right w:val="single" w:color="000000" w:sz="8" w:space="0"/>
            </w:tcBorders>
          </w:tcPr>
          <w:p>
            <w:pPr>
              <w:spacing w:after="160" w:line="259" w:lineRule="auto"/>
              <w:ind w:left="0" w:firstLine="0"/>
              <w:rPr>
                <w:color w:val="auto"/>
              </w:rPr>
            </w:pPr>
          </w:p>
        </w:tc>
        <w:tc>
          <w:tcPr>
            <w:tcW w:w="1541" w:type="dxa"/>
            <w:tcBorders>
              <w:top w:val="single" w:color="000000" w:sz="8" w:space="0"/>
              <w:left w:val="single" w:color="000000" w:sz="8" w:space="0"/>
              <w:bottom w:val="single" w:color="000000" w:sz="8" w:space="0"/>
              <w:right w:val="single" w:color="000000" w:sz="4" w:space="0"/>
            </w:tcBorders>
          </w:tcPr>
          <w:p>
            <w:pPr>
              <w:spacing w:after="160" w:line="259" w:lineRule="auto"/>
              <w:ind w:left="0" w:firstLine="0"/>
              <w:rPr>
                <w:color w:val="auto"/>
              </w:rPr>
            </w:pPr>
          </w:p>
        </w:tc>
        <w:tc>
          <w:tcPr>
            <w:tcW w:w="1584" w:type="dxa"/>
            <w:tcBorders>
              <w:top w:val="single" w:color="000000" w:sz="8" w:space="0"/>
              <w:left w:val="single" w:color="000000" w:sz="4" w:space="0"/>
              <w:bottom w:val="single" w:color="000000" w:sz="8" w:space="0"/>
              <w:right w:val="single" w:color="000000" w:sz="8" w:space="0"/>
            </w:tcBorders>
          </w:tcPr>
          <w:p>
            <w:pPr>
              <w:spacing w:after="160" w:line="259" w:lineRule="auto"/>
              <w:ind w:left="0" w:firstLine="0"/>
              <w:rPr>
                <w:color w:val="auto"/>
              </w:rPr>
            </w:pPr>
          </w:p>
        </w:tc>
        <w:tc>
          <w:tcPr>
            <w:tcW w:w="1484" w:type="dxa"/>
            <w:tcBorders>
              <w:top w:val="single" w:color="000000" w:sz="8" w:space="0"/>
              <w:left w:val="single" w:color="000000" w:sz="8" w:space="0"/>
              <w:bottom w:val="single" w:color="000000" w:sz="8" w:space="0"/>
              <w:right w:val="single" w:color="000000" w:sz="8" w:space="0"/>
            </w:tcBorders>
          </w:tcPr>
          <w:p>
            <w:pPr>
              <w:spacing w:after="160" w:line="259" w:lineRule="auto"/>
              <w:ind w:left="0" w:firstLine="0"/>
              <w:rPr>
                <w:color w:val="auto"/>
              </w:rPr>
            </w:pPr>
          </w:p>
        </w:tc>
      </w:tr>
    </w:tbl>
    <w:p>
      <w:pPr>
        <w:spacing w:after="158"/>
        <w:ind w:left="429"/>
        <w:rPr>
          <w:color w:val="auto"/>
        </w:rPr>
      </w:pPr>
      <w:r>
        <w:rPr>
          <w:color w:val="auto"/>
        </w:rPr>
        <w:t>被否决投标情况：被否决投标单位名称、被否决理由。</w:t>
      </w:r>
    </w:p>
    <w:p>
      <w:pPr>
        <w:pStyle w:val="2"/>
      </w:pPr>
    </w:p>
    <w:p>
      <w:pPr>
        <w:spacing w:line="426" w:lineRule="auto"/>
        <w:rPr>
          <w:color w:val="auto"/>
        </w:rPr>
      </w:pPr>
      <w:r>
        <w:rPr>
          <w:color w:val="auto"/>
        </w:rPr>
        <w:t>公示期</w:t>
      </w:r>
      <w:r>
        <w:rPr>
          <w:color w:val="auto"/>
        </w:rPr>
        <w:tab/>
      </w:r>
      <w:r>
        <w:rPr>
          <w:color w:val="auto"/>
        </w:rPr>
        <w:t>天。公示期间，投标人和其他利害关系人如有异议，</w:t>
      </w:r>
      <w:r>
        <w:rPr>
          <w:rFonts w:hint="eastAsia"/>
          <w:color w:val="auto"/>
        </w:rPr>
        <w:t>向监管部门</w:t>
      </w:r>
      <w:r>
        <w:rPr>
          <w:color w:val="auto"/>
        </w:rPr>
        <w:t>投诉。</w:t>
      </w:r>
    </w:p>
    <w:p>
      <w:pPr>
        <w:tabs>
          <w:tab w:val="center" w:pos="839"/>
          <w:tab w:val="right" w:pos="8995"/>
        </w:tabs>
        <w:spacing w:after="0" w:line="265" w:lineRule="auto"/>
        <w:ind w:left="0" w:firstLine="0"/>
        <w:rPr>
          <w:color w:val="auto"/>
        </w:rPr>
      </w:pPr>
      <w:r>
        <w:rPr>
          <w:rFonts w:hint="eastAsia"/>
          <w:color w:val="auto"/>
          <w:lang w:eastAsia="zh-CN"/>
        </w:rPr>
        <w:t>招议标</w:t>
      </w:r>
      <w:r>
        <w:rPr>
          <w:color w:val="auto"/>
        </w:rPr>
        <w:t>人：</w:t>
      </w:r>
      <w:r>
        <w:rPr>
          <w:color w:val="auto"/>
          <w:u w:val="single"/>
        </w:rPr>
        <w:t xml:space="preserve">                                       </w:t>
      </w:r>
      <w:r>
        <w:rPr>
          <w:color w:val="auto"/>
        </w:rPr>
        <w:tab/>
      </w:r>
      <w:r>
        <w:rPr>
          <w:color w:val="auto"/>
        </w:rPr>
        <w:t>（名称、地址、联系人及联系方式）</w:t>
      </w:r>
    </w:p>
    <w:p>
      <w:pPr>
        <w:tabs>
          <w:tab w:val="center" w:pos="839"/>
          <w:tab w:val="right" w:pos="8995"/>
        </w:tabs>
        <w:spacing w:after="0" w:line="265" w:lineRule="auto"/>
        <w:ind w:left="0" w:firstLine="0"/>
        <w:rPr>
          <w:color w:val="auto"/>
          <w:u w:val="single"/>
        </w:rPr>
      </w:pPr>
      <w:r>
        <w:rPr>
          <w:rFonts w:hint="eastAsia"/>
          <w:color w:val="auto"/>
          <w:u w:val="single"/>
        </w:rPr>
        <w:t>监管部门：</w:t>
      </w:r>
      <w:r>
        <w:rPr>
          <w:color w:val="auto"/>
          <w:u w:val="single"/>
        </w:rPr>
        <w:t xml:space="preserve">                                       </w:t>
      </w:r>
      <w:r>
        <w:rPr>
          <w:color w:val="auto"/>
        </w:rPr>
        <w:t>（名称、地址、联系方式）</w:t>
      </w:r>
    </w:p>
    <w:p>
      <w:pPr>
        <w:tabs>
          <w:tab w:val="center" w:pos="839"/>
          <w:tab w:val="right" w:pos="8995"/>
        </w:tabs>
        <w:spacing w:after="0" w:line="265" w:lineRule="auto"/>
        <w:ind w:left="0" w:firstLine="0"/>
        <w:rPr>
          <w:color w:val="auto"/>
          <w:u w:val="single"/>
        </w:rPr>
      </w:pPr>
      <w:r>
        <w:rPr>
          <w:rFonts w:hint="eastAsia"/>
          <w:color w:val="auto"/>
          <w:u w:val="single"/>
        </w:rPr>
        <w:t>时间：</w:t>
      </w:r>
      <w:r>
        <w:rPr>
          <w:color w:val="auto"/>
          <w:u w:val="single"/>
        </w:rPr>
        <w:t xml:space="preserve">                          </w:t>
      </w:r>
    </w:p>
    <w:p>
      <w:pPr>
        <w:tabs>
          <w:tab w:val="center" w:pos="839"/>
          <w:tab w:val="right" w:pos="8995"/>
        </w:tabs>
        <w:spacing w:after="0" w:line="265" w:lineRule="auto"/>
        <w:ind w:left="0" w:firstLine="0"/>
        <w:rPr>
          <w:color w:val="auto"/>
          <w:u w:val="single"/>
        </w:rPr>
      </w:pPr>
    </w:p>
    <w:p>
      <w:pPr>
        <w:spacing w:after="537" w:line="265" w:lineRule="auto"/>
        <w:ind w:left="113" w:hanging="10"/>
        <w:rPr>
          <w:rFonts w:ascii="黑体" w:hAnsi="黑体" w:eastAsia="黑体" w:cs="黑体"/>
          <w:color w:val="auto"/>
          <w:sz w:val="32"/>
        </w:rPr>
      </w:pPr>
    </w:p>
    <w:p>
      <w:pPr>
        <w:spacing w:after="537" w:line="265" w:lineRule="auto"/>
        <w:ind w:left="113" w:hanging="10"/>
        <w:rPr>
          <w:rFonts w:ascii="黑体" w:hAnsi="黑体" w:eastAsia="黑体" w:cs="黑体"/>
          <w:color w:val="auto"/>
          <w:sz w:val="32"/>
        </w:rPr>
      </w:pPr>
    </w:p>
    <w:p>
      <w:pPr>
        <w:spacing w:after="537" w:line="265" w:lineRule="auto"/>
        <w:ind w:left="113" w:hanging="10"/>
        <w:rPr>
          <w:rFonts w:ascii="黑体" w:hAnsi="黑体" w:eastAsia="黑体" w:cs="黑体"/>
          <w:color w:val="auto"/>
          <w:sz w:val="32"/>
        </w:rPr>
      </w:pPr>
    </w:p>
    <w:p>
      <w:pPr>
        <w:spacing w:after="537" w:line="265" w:lineRule="auto"/>
        <w:ind w:left="113" w:hanging="10"/>
        <w:rPr>
          <w:rFonts w:ascii="黑体" w:hAnsi="黑体" w:eastAsia="黑体" w:cs="黑体"/>
          <w:color w:val="auto"/>
          <w:sz w:val="32"/>
        </w:rPr>
      </w:pPr>
    </w:p>
    <w:p>
      <w:pPr>
        <w:spacing w:after="537" w:line="265" w:lineRule="auto"/>
        <w:ind w:left="113" w:hanging="10"/>
        <w:rPr>
          <w:rFonts w:ascii="黑体" w:hAnsi="黑体" w:eastAsia="黑体" w:cs="黑体"/>
          <w:color w:val="auto"/>
          <w:sz w:val="32"/>
        </w:rPr>
      </w:pPr>
    </w:p>
    <w:p>
      <w:pPr>
        <w:spacing w:after="537" w:line="265" w:lineRule="auto"/>
        <w:ind w:left="113" w:hanging="10"/>
        <w:rPr>
          <w:rFonts w:ascii="黑体" w:hAnsi="黑体" w:eastAsia="黑体" w:cs="黑体"/>
          <w:color w:val="auto"/>
          <w:sz w:val="32"/>
        </w:rPr>
      </w:pPr>
    </w:p>
    <w:p>
      <w:pPr>
        <w:spacing w:after="537" w:line="265" w:lineRule="auto"/>
        <w:ind w:left="0" w:leftChars="0" w:firstLine="0" w:firstLineChars="0"/>
        <w:rPr>
          <w:color w:val="auto"/>
        </w:rPr>
      </w:pPr>
      <w:r>
        <w:rPr>
          <w:rFonts w:ascii="黑体" w:hAnsi="黑体" w:eastAsia="黑体" w:cs="黑体"/>
          <w:color w:val="auto"/>
          <w:sz w:val="32"/>
        </w:rPr>
        <w:t>附件6：中标通知书</w:t>
      </w:r>
    </w:p>
    <w:p>
      <w:pPr>
        <w:spacing w:after="650" w:line="265" w:lineRule="auto"/>
        <w:ind w:left="641" w:right="838" w:hanging="10"/>
        <w:jc w:val="center"/>
        <w:rPr>
          <w:color w:val="auto"/>
        </w:rPr>
      </w:pPr>
      <w:r>
        <w:rPr>
          <w:rFonts w:ascii="黑体" w:hAnsi="黑体" w:eastAsia="黑体" w:cs="黑体"/>
          <w:color w:val="auto"/>
          <w:sz w:val="28"/>
        </w:rPr>
        <w:t>中标通知书</w:t>
      </w:r>
    </w:p>
    <w:p>
      <w:pPr>
        <w:spacing w:after="619"/>
        <w:ind w:left="-6"/>
        <w:rPr>
          <w:color w:val="auto"/>
        </w:rPr>
      </w:pPr>
      <w:r>
        <w:rPr>
          <w:color w:val="auto"/>
          <w:u w:val="single"/>
        </w:rPr>
        <w:t xml:space="preserve">             </w:t>
      </w:r>
      <w:r>
        <w:rPr>
          <w:color w:val="auto"/>
        </w:rPr>
        <w:t>（中标人名称）：</w:t>
      </w:r>
    </w:p>
    <w:p>
      <w:pPr>
        <w:spacing w:line="423" w:lineRule="auto"/>
        <w:ind w:left="-15" w:firstLine="420"/>
        <w:rPr>
          <w:color w:val="auto"/>
        </w:rPr>
      </w:pPr>
      <w:r>
        <w:rPr>
          <w:color w:val="auto"/>
        </w:rPr>
        <w:t>你方于</w:t>
      </w:r>
      <w:r>
        <w:rPr>
          <w:color w:val="auto"/>
          <w:u w:val="single"/>
        </w:rPr>
        <w:t xml:space="preserve">             </w:t>
      </w:r>
      <w:r>
        <w:rPr>
          <w:color w:val="auto"/>
        </w:rPr>
        <w:tab/>
      </w:r>
      <w:r>
        <w:rPr>
          <w:color w:val="auto"/>
        </w:rPr>
        <w:t>（投标日期）所递交的</w:t>
      </w:r>
      <w:r>
        <w:rPr>
          <w:color w:val="auto"/>
          <w:u w:val="single"/>
        </w:rPr>
        <w:t xml:space="preserve">             </w:t>
      </w:r>
      <w:r>
        <w:rPr>
          <w:color w:val="auto"/>
        </w:rPr>
        <w:t>（项目名称）</w:t>
      </w:r>
      <w:r>
        <w:rPr>
          <w:color w:val="auto"/>
          <w:u w:val="single"/>
        </w:rPr>
        <w:t xml:space="preserve">      </w:t>
      </w:r>
      <w:r>
        <w:rPr>
          <w:rFonts w:hint="eastAsia"/>
          <w:color w:val="auto"/>
          <w:lang w:eastAsia="zh-CN"/>
        </w:rPr>
        <w:t>招议标</w:t>
      </w:r>
      <w:r>
        <w:rPr>
          <w:color w:val="auto"/>
        </w:rPr>
        <w:t>的投标文件已被我方接受，被确定为中标人。</w:t>
      </w:r>
    </w:p>
    <w:p>
      <w:pPr>
        <w:tabs>
          <w:tab w:val="center" w:pos="839"/>
          <w:tab w:val="center" w:pos="3148"/>
        </w:tabs>
        <w:spacing w:after="179"/>
        <w:ind w:left="0" w:firstLine="0"/>
        <w:rPr>
          <w:color w:val="auto"/>
        </w:rPr>
      </w:pPr>
      <w:r>
        <w:rPr>
          <w:rFonts w:ascii="Calibri" w:hAnsi="Calibri" w:eastAsia="Calibri" w:cs="Calibri"/>
          <w:color w:val="auto"/>
          <w:sz w:val="22"/>
        </w:rPr>
        <w:tab/>
      </w:r>
      <w:r>
        <w:rPr>
          <w:color w:val="auto"/>
        </w:rPr>
        <w:t>中标价：</w:t>
      </w:r>
      <w:r>
        <w:rPr>
          <w:color w:val="auto"/>
          <w:u w:val="single"/>
        </w:rPr>
        <w:t xml:space="preserve">             </w:t>
      </w:r>
      <w:r>
        <w:rPr>
          <w:color w:val="auto"/>
        </w:rPr>
        <w:t>。</w:t>
      </w:r>
    </w:p>
    <w:p>
      <w:pPr>
        <w:spacing w:line="423" w:lineRule="auto"/>
        <w:ind w:left="-15" w:firstLine="420"/>
        <w:rPr>
          <w:color w:val="auto"/>
        </w:rPr>
      </w:pPr>
      <w:r>
        <w:rPr>
          <w:color w:val="auto"/>
        </w:rPr>
        <w:t>请你方在接到本通知书后的日内到</w:t>
      </w:r>
      <w:r>
        <w:rPr>
          <w:color w:val="auto"/>
        </w:rPr>
        <w:tab/>
      </w:r>
      <w:r>
        <w:rPr>
          <w:color w:val="auto"/>
          <w:u w:val="single"/>
        </w:rPr>
        <w:t xml:space="preserve">             </w:t>
      </w:r>
      <w:r>
        <w:rPr>
          <w:color w:val="auto"/>
        </w:rPr>
        <w:t>（指定地点）与我方签订合同。</w:t>
      </w:r>
    </w:p>
    <w:p>
      <w:pPr>
        <w:spacing w:after="616"/>
        <w:ind w:left="429"/>
        <w:rPr>
          <w:color w:val="auto"/>
        </w:rPr>
      </w:pPr>
      <w:r>
        <w:rPr>
          <w:color w:val="auto"/>
        </w:rPr>
        <w:t>特此通知。</w:t>
      </w:r>
    </w:p>
    <w:p>
      <w:pPr>
        <w:tabs>
          <w:tab w:val="center" w:pos="4901"/>
          <w:tab w:val="right" w:pos="8995"/>
        </w:tabs>
        <w:spacing w:after="644" w:line="265" w:lineRule="auto"/>
        <w:ind w:left="0" w:firstLine="0"/>
        <w:rPr>
          <w:color w:val="auto"/>
        </w:rPr>
      </w:pPr>
      <w:r>
        <w:rPr>
          <w:rFonts w:ascii="Calibri" w:hAnsi="Calibri" w:eastAsia="Calibri" w:cs="Calibri"/>
          <w:color w:val="auto"/>
          <w:sz w:val="22"/>
        </w:rPr>
        <w:tab/>
      </w:r>
      <w:r>
        <w:rPr>
          <w:rFonts w:hint="eastAsia" w:ascii="Calibri" w:hAnsi="Calibri" w:eastAsia="宋体" w:cs="Calibri"/>
          <w:color w:val="auto"/>
          <w:sz w:val="22"/>
          <w:lang w:val="en-US" w:eastAsia="zh-CN"/>
        </w:rPr>
        <w:t xml:space="preserve">   </w:t>
      </w:r>
      <w:r>
        <w:rPr>
          <w:rFonts w:hint="eastAsia" w:eastAsia="宋体"/>
          <w:color w:val="auto"/>
          <w:lang w:eastAsia="zh-CN"/>
        </w:rPr>
        <w:t>招议标</w:t>
      </w:r>
      <w:r>
        <w:rPr>
          <w:color w:val="auto"/>
        </w:rPr>
        <w:t>人：</w:t>
      </w:r>
      <w:r>
        <w:rPr>
          <w:color w:val="auto"/>
        </w:rPr>
        <w:tab/>
      </w:r>
      <w:r>
        <w:rPr>
          <w:color w:val="auto"/>
          <w:u w:val="single"/>
        </w:rPr>
        <w:t xml:space="preserve">             </w:t>
      </w:r>
      <w:r>
        <w:rPr>
          <w:color w:val="auto"/>
        </w:rPr>
        <w:t>（盖单位章）</w:t>
      </w:r>
    </w:p>
    <w:p>
      <w:pPr>
        <w:tabs>
          <w:tab w:val="center" w:pos="5059"/>
          <w:tab w:val="right" w:pos="8995"/>
        </w:tabs>
        <w:spacing w:after="642" w:line="265" w:lineRule="auto"/>
        <w:ind w:left="0" w:firstLine="0"/>
        <w:rPr>
          <w:color w:val="auto"/>
        </w:rPr>
      </w:pPr>
      <w:r>
        <w:rPr>
          <w:rFonts w:ascii="Calibri" w:hAnsi="Calibri" w:eastAsia="Calibri" w:cs="Calibri"/>
          <w:color w:val="auto"/>
          <w:sz w:val="22"/>
        </w:rPr>
        <w:tab/>
      </w:r>
      <w:r>
        <w:rPr>
          <w:color w:val="auto"/>
        </w:rPr>
        <w:t>法定代表人（单位负责人：）</w:t>
      </w:r>
      <w:r>
        <w:rPr>
          <w:color w:val="auto"/>
          <w:u w:val="single"/>
        </w:rPr>
        <w:t xml:space="preserve">             </w:t>
      </w:r>
      <w:r>
        <w:rPr>
          <w:color w:val="auto"/>
        </w:rPr>
        <w:tab/>
      </w:r>
      <w:r>
        <w:rPr>
          <w:color w:val="auto"/>
        </w:rPr>
        <w:t>（签字）</w:t>
      </w:r>
    </w:p>
    <w:p>
      <w:pPr>
        <w:tabs>
          <w:tab w:val="center" w:pos="5059"/>
          <w:tab w:val="right" w:pos="8995"/>
        </w:tabs>
        <w:spacing w:after="642" w:line="265" w:lineRule="auto"/>
        <w:ind w:left="0" w:firstLine="0"/>
        <w:rPr>
          <w:color w:val="auto"/>
          <w:u w:val="single"/>
        </w:rPr>
      </w:pPr>
      <w:r>
        <w:rPr>
          <w:rFonts w:hint="eastAsia"/>
          <w:color w:val="auto"/>
        </w:rPr>
        <w:t xml:space="preserve"> </w:t>
      </w:r>
      <w:r>
        <w:rPr>
          <w:color w:val="auto"/>
        </w:rPr>
        <w:t xml:space="preserve">                                      </w:t>
      </w:r>
      <w:r>
        <w:rPr>
          <w:color w:val="auto"/>
          <w:u w:val="single"/>
        </w:rPr>
        <w:t xml:space="preserve">             </w:t>
      </w:r>
      <w:r>
        <w:rPr>
          <w:rFonts w:hint="eastAsia"/>
          <w:color w:val="auto"/>
          <w:u w:val="single"/>
        </w:rPr>
        <w:t>年</w:t>
      </w:r>
      <w:r>
        <w:rPr>
          <w:color w:val="auto"/>
          <w:u w:val="single"/>
        </w:rPr>
        <w:t xml:space="preserve">             </w:t>
      </w:r>
      <w:r>
        <w:rPr>
          <w:rFonts w:hint="eastAsia"/>
          <w:color w:val="auto"/>
          <w:u w:val="single"/>
        </w:rPr>
        <w:t>月</w:t>
      </w:r>
      <w:r>
        <w:rPr>
          <w:color w:val="auto"/>
          <w:u w:val="single"/>
        </w:rPr>
        <w:t xml:space="preserve">             </w:t>
      </w:r>
      <w:r>
        <w:rPr>
          <w:rFonts w:hint="eastAsia"/>
          <w:color w:val="auto"/>
          <w:u w:val="single"/>
        </w:rPr>
        <w:t>日</w:t>
      </w:r>
    </w:p>
    <w:p>
      <w:pPr>
        <w:tabs>
          <w:tab w:val="center" w:pos="5059"/>
          <w:tab w:val="right" w:pos="8995"/>
        </w:tabs>
        <w:spacing w:after="642" w:line="265" w:lineRule="auto"/>
        <w:ind w:left="0" w:firstLine="0"/>
        <w:rPr>
          <w:color w:val="auto"/>
          <w:u w:val="single"/>
        </w:rPr>
      </w:pPr>
    </w:p>
    <w:p>
      <w:pPr>
        <w:tabs>
          <w:tab w:val="center" w:pos="5059"/>
          <w:tab w:val="right" w:pos="8995"/>
        </w:tabs>
        <w:spacing w:after="642" w:line="265" w:lineRule="auto"/>
        <w:ind w:left="0" w:firstLine="0"/>
        <w:rPr>
          <w:color w:val="auto"/>
        </w:rPr>
      </w:pPr>
    </w:p>
    <w:p>
      <w:pPr>
        <w:tabs>
          <w:tab w:val="center" w:pos="5059"/>
          <w:tab w:val="right" w:pos="8995"/>
        </w:tabs>
        <w:spacing w:after="642" w:line="265" w:lineRule="auto"/>
        <w:ind w:left="0" w:firstLine="0"/>
        <w:rPr>
          <w:color w:val="auto"/>
        </w:rPr>
      </w:pPr>
    </w:p>
    <w:p>
      <w:pPr>
        <w:spacing w:after="947" w:line="265" w:lineRule="auto"/>
        <w:ind w:left="166" w:hanging="10"/>
        <w:rPr>
          <w:rFonts w:ascii="黑体" w:hAnsi="黑体" w:eastAsia="黑体" w:cs="黑体"/>
          <w:color w:val="auto"/>
          <w:sz w:val="32"/>
        </w:rPr>
      </w:pPr>
    </w:p>
    <w:p>
      <w:pPr>
        <w:spacing w:after="947" w:line="265" w:lineRule="auto"/>
        <w:ind w:left="166" w:hanging="10"/>
        <w:rPr>
          <w:rFonts w:ascii="黑体" w:hAnsi="黑体" w:eastAsia="黑体" w:cs="黑体"/>
          <w:color w:val="auto"/>
          <w:sz w:val="32"/>
        </w:rPr>
      </w:pPr>
    </w:p>
    <w:p>
      <w:pPr>
        <w:spacing w:after="947" w:line="265" w:lineRule="auto"/>
        <w:ind w:left="166" w:hanging="10"/>
        <w:rPr>
          <w:color w:val="auto"/>
        </w:rPr>
      </w:pPr>
      <w:r>
        <w:rPr>
          <w:rFonts w:ascii="黑体" w:hAnsi="黑体" w:eastAsia="黑体" w:cs="黑体"/>
          <w:color w:val="auto"/>
          <w:sz w:val="32"/>
        </w:rPr>
        <w:t>附件</w:t>
      </w:r>
      <w:r>
        <w:rPr>
          <w:rFonts w:ascii="Times New Roman" w:hAnsi="Times New Roman" w:eastAsia="Times New Roman" w:cs="Times New Roman"/>
          <w:color w:val="auto"/>
          <w:sz w:val="32"/>
        </w:rPr>
        <w:t>7</w:t>
      </w:r>
      <w:r>
        <w:rPr>
          <w:rFonts w:ascii="黑体" w:hAnsi="黑体" w:eastAsia="黑体" w:cs="黑体"/>
          <w:color w:val="auto"/>
          <w:sz w:val="32"/>
        </w:rPr>
        <w:t>：中标结果通知书</w:t>
      </w:r>
    </w:p>
    <w:p>
      <w:pPr>
        <w:spacing w:after="517" w:line="265" w:lineRule="auto"/>
        <w:ind w:left="641" w:right="840" w:hanging="10"/>
        <w:jc w:val="center"/>
        <w:rPr>
          <w:color w:val="auto"/>
        </w:rPr>
      </w:pPr>
      <w:r>
        <w:rPr>
          <w:rFonts w:ascii="黑体" w:hAnsi="黑体" w:eastAsia="黑体" w:cs="黑体"/>
          <w:color w:val="auto"/>
          <w:sz w:val="28"/>
        </w:rPr>
        <w:t>中标结果通知书</w:t>
      </w:r>
    </w:p>
    <w:p>
      <w:pPr>
        <w:spacing w:after="616"/>
        <w:ind w:left="-6"/>
        <w:rPr>
          <w:color w:val="auto"/>
        </w:rPr>
      </w:pPr>
      <w:r>
        <w:rPr>
          <w:color w:val="auto"/>
          <w:u w:val="single"/>
        </w:rPr>
        <w:t xml:space="preserve">             </w:t>
      </w:r>
      <w:r>
        <w:rPr>
          <w:color w:val="auto"/>
        </w:rPr>
        <w:t>（未中标人名称）：</w:t>
      </w:r>
    </w:p>
    <w:p>
      <w:pPr>
        <w:tabs>
          <w:tab w:val="center" w:pos="978"/>
          <w:tab w:val="center" w:pos="3243"/>
          <w:tab w:val="right" w:pos="8995"/>
        </w:tabs>
        <w:spacing w:after="188" w:line="265" w:lineRule="auto"/>
        <w:ind w:left="0" w:firstLine="0"/>
        <w:rPr>
          <w:color w:val="auto"/>
        </w:rPr>
      </w:pPr>
      <w:r>
        <w:rPr>
          <w:rFonts w:ascii="Calibri" w:hAnsi="Calibri" w:eastAsia="Calibri" w:cs="Calibri"/>
          <w:color w:val="auto"/>
          <w:sz w:val="22"/>
        </w:rPr>
        <w:tab/>
      </w:r>
      <w:r>
        <w:rPr>
          <w:color w:val="auto"/>
        </w:rPr>
        <w:t>我方已接受</w:t>
      </w:r>
      <w:r>
        <w:rPr>
          <w:color w:val="auto"/>
        </w:rPr>
        <w:tab/>
      </w:r>
      <w:r>
        <w:rPr>
          <w:color w:val="auto"/>
          <w:u w:val="single"/>
        </w:rPr>
        <w:t xml:space="preserve">             </w:t>
      </w:r>
      <w:r>
        <w:rPr>
          <w:color w:val="auto"/>
        </w:rPr>
        <w:t>（中标人名称）于</w:t>
      </w:r>
      <w:r>
        <w:rPr>
          <w:color w:val="auto"/>
          <w:u w:val="single"/>
        </w:rPr>
        <w:t xml:space="preserve">             </w:t>
      </w:r>
      <w:r>
        <w:rPr>
          <w:color w:val="auto"/>
        </w:rPr>
        <w:t>（投标日期）所递交的</w:t>
      </w:r>
    </w:p>
    <w:p>
      <w:pPr>
        <w:spacing w:line="420" w:lineRule="auto"/>
        <w:ind w:left="-6"/>
        <w:rPr>
          <w:color w:val="auto"/>
        </w:rPr>
      </w:pPr>
      <w:r>
        <w:rPr>
          <w:color w:val="auto"/>
          <w:u w:val="single"/>
        </w:rPr>
        <w:t xml:space="preserve">             </w:t>
      </w:r>
      <w:r>
        <w:rPr>
          <w:color w:val="auto"/>
        </w:rPr>
        <w:t>（项目名称）</w:t>
      </w:r>
      <w:r>
        <w:rPr>
          <w:color w:val="auto"/>
          <w:u w:val="single"/>
        </w:rPr>
        <w:t xml:space="preserve">      </w:t>
      </w:r>
      <w:r>
        <w:rPr>
          <w:rFonts w:hint="eastAsia"/>
          <w:color w:val="auto"/>
          <w:lang w:eastAsia="zh-CN"/>
        </w:rPr>
        <w:t>招议标</w:t>
      </w:r>
      <w:r>
        <w:rPr>
          <w:color w:val="auto"/>
        </w:rPr>
        <w:t>的投标文件，确定</w:t>
      </w:r>
      <w:r>
        <w:rPr>
          <w:color w:val="auto"/>
          <w:u w:val="single"/>
        </w:rPr>
        <w:t xml:space="preserve">             </w:t>
      </w:r>
      <w:r>
        <w:rPr>
          <w:color w:val="auto"/>
        </w:rPr>
        <w:tab/>
      </w:r>
      <w:r>
        <w:rPr>
          <w:color w:val="auto"/>
        </w:rPr>
        <w:t>（中标人名称）为中标人。</w:t>
      </w:r>
    </w:p>
    <w:p>
      <w:pPr>
        <w:spacing w:after="1538"/>
        <w:ind w:left="429"/>
        <w:rPr>
          <w:color w:val="auto"/>
        </w:rPr>
      </w:pPr>
      <w:r>
        <w:rPr>
          <w:color w:val="auto"/>
        </w:rPr>
        <w:t>感谢你单位对</w:t>
      </w:r>
      <w:r>
        <w:rPr>
          <w:rFonts w:hint="eastAsia"/>
          <w:color w:val="auto"/>
          <w:lang w:eastAsia="zh-CN"/>
        </w:rPr>
        <w:t>招议标</w:t>
      </w:r>
      <w:r>
        <w:rPr>
          <w:color w:val="auto"/>
        </w:rPr>
        <w:t>项目的参与！</w:t>
      </w:r>
    </w:p>
    <w:p>
      <w:pPr>
        <w:tabs>
          <w:tab w:val="center" w:pos="4376"/>
          <w:tab w:val="right" w:pos="8995"/>
        </w:tabs>
        <w:spacing w:after="642" w:line="265" w:lineRule="auto"/>
        <w:ind w:left="0" w:firstLine="0"/>
        <w:rPr>
          <w:color w:val="auto"/>
        </w:rPr>
      </w:pPr>
      <w:r>
        <w:rPr>
          <w:rFonts w:ascii="Calibri" w:hAnsi="Calibri" w:eastAsia="Calibri" w:cs="Calibri"/>
          <w:color w:val="auto"/>
          <w:sz w:val="22"/>
        </w:rPr>
        <w:tab/>
      </w:r>
      <w:r>
        <w:rPr>
          <w:rFonts w:hint="eastAsia" w:eastAsia="宋体"/>
          <w:color w:val="auto"/>
          <w:lang w:eastAsia="zh-CN"/>
        </w:rPr>
        <w:t>招议标</w:t>
      </w:r>
      <w:r>
        <w:rPr>
          <w:color w:val="auto"/>
        </w:rPr>
        <w:t>人：</w:t>
      </w:r>
      <w:r>
        <w:rPr>
          <w:color w:val="auto"/>
        </w:rPr>
        <w:tab/>
      </w:r>
      <w:r>
        <w:rPr>
          <w:color w:val="auto"/>
          <w:u w:val="single"/>
        </w:rPr>
        <w:t xml:space="preserve">                          </w:t>
      </w:r>
      <w:r>
        <w:rPr>
          <w:color w:val="auto"/>
        </w:rPr>
        <w:t>（盖单位章）</w:t>
      </w:r>
    </w:p>
    <w:p>
      <w:pPr>
        <w:jc w:val="right"/>
        <w:rPr>
          <w:color w:val="auto"/>
          <w:u w:val="single"/>
        </w:rPr>
      </w:pPr>
      <w:r>
        <w:rPr>
          <w:rFonts w:hint="eastAsia"/>
          <w:color w:val="auto"/>
        </w:rPr>
        <w:t xml:space="preserve"> </w:t>
      </w:r>
      <w:r>
        <w:rPr>
          <w:color w:val="auto"/>
          <w:u w:val="single"/>
        </w:rPr>
        <w:t xml:space="preserve">        </w:t>
      </w:r>
      <w:r>
        <w:rPr>
          <w:rFonts w:hint="eastAsia"/>
          <w:color w:val="auto"/>
          <w:u w:val="single"/>
        </w:rPr>
        <w:t xml:space="preserve">年 </w:t>
      </w:r>
      <w:r>
        <w:rPr>
          <w:color w:val="auto"/>
          <w:u w:val="single"/>
        </w:rPr>
        <w:t xml:space="preserve">       </w:t>
      </w:r>
      <w:r>
        <w:rPr>
          <w:rFonts w:hint="eastAsia"/>
          <w:color w:val="auto"/>
          <w:u w:val="single"/>
        </w:rPr>
        <w:t>月</w:t>
      </w:r>
      <w:r>
        <w:rPr>
          <w:color w:val="auto"/>
          <w:u w:val="single"/>
        </w:rPr>
        <w:t xml:space="preserve">          </w:t>
      </w:r>
      <w:r>
        <w:rPr>
          <w:rFonts w:hint="eastAsia"/>
          <w:color w:val="auto"/>
          <w:u w:val="single"/>
        </w:rPr>
        <w:t>日</w:t>
      </w:r>
    </w:p>
    <w:p>
      <w:pPr>
        <w:jc w:val="right"/>
        <w:rPr>
          <w:color w:val="auto"/>
          <w:u w:val="single"/>
        </w:rPr>
      </w:pPr>
    </w:p>
    <w:p>
      <w:pPr>
        <w:pStyle w:val="3"/>
        <w:spacing w:after="0" w:line="259" w:lineRule="auto"/>
        <w:ind w:left="0" w:right="0" w:firstLine="0"/>
        <w:jc w:val="both"/>
        <w:rPr>
          <w:rFonts w:ascii="华文中宋" w:hAnsi="华文中宋" w:eastAsia="华文中宋" w:cs="华文中宋"/>
          <w:color w:val="auto"/>
          <w:sz w:val="44"/>
        </w:rPr>
      </w:pPr>
    </w:p>
    <w:p>
      <w:pPr>
        <w:pStyle w:val="4"/>
        <w:spacing w:after="3" w:line="259" w:lineRule="auto"/>
        <w:ind w:left="-15" w:right="0" w:firstLine="1092"/>
        <w:rPr>
          <w:rFonts w:hint="eastAsia" w:ascii="华文中宋" w:hAnsi="华文中宋" w:eastAsia="华文中宋" w:cs="华文中宋"/>
          <w:color w:val="auto"/>
          <w:sz w:val="44"/>
        </w:rPr>
      </w:pPr>
      <w:bookmarkStart w:id="43" w:name="_Toc21561"/>
    </w:p>
    <w:p>
      <w:pPr>
        <w:pStyle w:val="4"/>
        <w:spacing w:after="3" w:line="259" w:lineRule="auto"/>
        <w:ind w:left="0" w:leftChars="0" w:right="0" w:firstLine="0" w:firstLineChars="0"/>
        <w:jc w:val="center"/>
        <w:rPr>
          <w:rFonts w:ascii="华文中宋" w:hAnsi="华文中宋" w:eastAsia="华文中宋" w:cs="华文中宋"/>
          <w:color w:val="auto"/>
          <w:sz w:val="44"/>
        </w:rPr>
      </w:pPr>
      <w:r>
        <w:rPr>
          <w:rFonts w:hint="eastAsia" w:ascii="华文中宋" w:hAnsi="华文中宋" w:eastAsia="华文中宋" w:cs="华文中宋"/>
          <w:color w:val="auto"/>
          <w:sz w:val="44"/>
        </w:rPr>
        <w:t>第</w:t>
      </w:r>
      <w:r>
        <w:rPr>
          <w:rFonts w:ascii="华文中宋" w:hAnsi="华文中宋" w:eastAsia="华文中宋" w:cs="华文中宋"/>
          <w:color w:val="auto"/>
          <w:sz w:val="44"/>
        </w:rPr>
        <w:t>三章评标办法（综合评估法</w:t>
      </w:r>
      <w:r>
        <w:rPr>
          <w:rFonts w:hint="eastAsia" w:ascii="华文中宋" w:hAnsi="华文中宋" w:eastAsia="华文中宋" w:cs="华文中宋"/>
          <w:color w:val="auto"/>
          <w:sz w:val="44"/>
        </w:rPr>
        <w:t>Ⅰ</w:t>
      </w:r>
      <w:r>
        <w:rPr>
          <w:rFonts w:ascii="华文中宋" w:hAnsi="华文中宋" w:eastAsia="华文中宋" w:cs="华文中宋"/>
          <w:color w:val="auto"/>
          <w:sz w:val="44"/>
        </w:rPr>
        <w:t>）</w:t>
      </w:r>
      <w:bookmarkEnd w:id="43"/>
    </w:p>
    <w:p>
      <w:pPr>
        <w:pStyle w:val="12"/>
        <w:rPr>
          <w:rFonts w:hint="eastAsia" w:eastAsia="宋体"/>
          <w:color w:val="auto"/>
          <w:lang w:eastAsia="zh-CN"/>
        </w:rPr>
      </w:pPr>
    </w:p>
    <w:p>
      <w:pPr>
        <w:pStyle w:val="12"/>
        <w:ind w:left="0" w:firstLine="0"/>
        <w:rPr>
          <w:color w:val="auto"/>
          <w:highlight w:val="yellow"/>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042"/>
        <w:gridCol w:w="4282"/>
        <w:gridCol w:w="844"/>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652" w:type="dxa"/>
            <w:noWrap w:val="0"/>
            <w:vAlign w:val="center"/>
          </w:tcPr>
          <w:p>
            <w:pPr>
              <w:jc w:val="both"/>
              <w:rPr>
                <w:rFonts w:hint="eastAsia"/>
                <w:vertAlign w:val="baseline"/>
                <w:lang w:eastAsia="zh-CN"/>
              </w:rPr>
            </w:pPr>
            <w:r>
              <w:rPr>
                <w:rFonts w:hint="eastAsia"/>
                <w:vertAlign w:val="baseline"/>
                <w:lang w:eastAsia="zh-CN"/>
              </w:rPr>
              <w:t>序号</w:t>
            </w:r>
          </w:p>
        </w:tc>
        <w:tc>
          <w:tcPr>
            <w:tcW w:w="2042" w:type="dxa"/>
            <w:noWrap w:val="0"/>
            <w:vAlign w:val="center"/>
          </w:tcPr>
          <w:p>
            <w:pPr>
              <w:jc w:val="center"/>
              <w:rPr>
                <w:rFonts w:hint="eastAsia"/>
                <w:vertAlign w:val="baseline"/>
                <w:lang w:eastAsia="zh-CN"/>
              </w:rPr>
            </w:pPr>
            <w:r>
              <w:rPr>
                <w:rFonts w:hint="eastAsia"/>
                <w:vertAlign w:val="baseline"/>
                <w:lang w:eastAsia="zh-CN"/>
              </w:rPr>
              <w:t>评分内容</w:t>
            </w:r>
          </w:p>
        </w:tc>
        <w:tc>
          <w:tcPr>
            <w:tcW w:w="4282" w:type="dxa"/>
            <w:noWrap w:val="0"/>
            <w:vAlign w:val="center"/>
          </w:tcPr>
          <w:p>
            <w:pPr>
              <w:jc w:val="center"/>
              <w:rPr>
                <w:rFonts w:hint="eastAsia"/>
                <w:vertAlign w:val="baseline"/>
                <w:lang w:eastAsia="zh-CN"/>
              </w:rPr>
            </w:pPr>
            <w:r>
              <w:rPr>
                <w:rFonts w:hint="eastAsia"/>
                <w:vertAlign w:val="baseline"/>
                <w:lang w:eastAsia="zh-CN"/>
              </w:rPr>
              <w:t>评分要点</w:t>
            </w:r>
          </w:p>
        </w:tc>
        <w:tc>
          <w:tcPr>
            <w:tcW w:w="844" w:type="dxa"/>
            <w:noWrap w:val="0"/>
            <w:vAlign w:val="center"/>
          </w:tcPr>
          <w:p>
            <w:pPr>
              <w:jc w:val="both"/>
              <w:rPr>
                <w:rFonts w:hint="eastAsia"/>
                <w:vertAlign w:val="baseline"/>
                <w:lang w:eastAsia="zh-CN"/>
              </w:rPr>
            </w:pPr>
            <w:r>
              <w:rPr>
                <w:rFonts w:hint="eastAsia"/>
                <w:vertAlign w:val="baseline"/>
                <w:lang w:eastAsia="zh-CN"/>
              </w:rPr>
              <w:t>标准分</w:t>
            </w:r>
            <w:r>
              <w:rPr>
                <w:rFonts w:hint="eastAsia"/>
                <w:vertAlign w:val="baseline"/>
                <w:lang w:val="en-US" w:eastAsia="zh-CN"/>
              </w:rPr>
              <w:t xml:space="preserve"> </w:t>
            </w:r>
            <w:r>
              <w:rPr>
                <w:rFonts w:hint="eastAsia"/>
                <w:vertAlign w:val="baseline"/>
                <w:lang w:eastAsia="zh-CN"/>
              </w:rPr>
              <w:t>值</w:t>
            </w:r>
          </w:p>
        </w:tc>
        <w:tc>
          <w:tcPr>
            <w:tcW w:w="898" w:type="dxa"/>
            <w:noWrap w:val="0"/>
            <w:vAlign w:val="center"/>
          </w:tcPr>
          <w:p>
            <w:pPr>
              <w:jc w:val="both"/>
              <w:rPr>
                <w:rFonts w:hint="eastAsia"/>
                <w:vertAlign w:val="baseline"/>
                <w:lang w:eastAsia="zh-CN"/>
              </w:rPr>
            </w:pPr>
            <w:r>
              <w:rPr>
                <w:rFonts w:hint="eastAsia"/>
                <w:vertAlign w:val="baseline"/>
                <w:lang w:val="en-US" w:eastAsia="zh-CN"/>
              </w:rPr>
              <w:t xml:space="preserve"> </w:t>
            </w:r>
            <w:r>
              <w:rPr>
                <w:rFonts w:hint="eastAsia"/>
                <w:vertAlign w:val="baseline"/>
                <w:lang w:eastAsia="zh-CN"/>
              </w:rPr>
              <w:t>得</w:t>
            </w:r>
            <w:r>
              <w:rPr>
                <w:rFonts w:hint="eastAsia"/>
                <w:vertAlign w:val="baseline"/>
                <w:lang w:val="en-US" w:eastAsia="zh-CN"/>
              </w:rPr>
              <w:t xml:space="preserve"> </w:t>
            </w:r>
            <w:r>
              <w:rPr>
                <w:rFonts w:hint="eastAsia"/>
                <w:vertAlign w:val="baseli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5" w:hRule="atLeast"/>
          <w:jc w:val="center"/>
        </w:trPr>
        <w:tc>
          <w:tcPr>
            <w:tcW w:w="652" w:type="dxa"/>
            <w:noWrap w:val="0"/>
            <w:vAlign w:val="center"/>
          </w:tcPr>
          <w:p>
            <w:pPr>
              <w:jc w:val="both"/>
              <w:rPr>
                <w:rFonts w:hint="default"/>
                <w:vertAlign w:val="baseline"/>
                <w:lang w:val="en-US" w:eastAsia="zh-CN"/>
              </w:rPr>
            </w:pPr>
            <w:r>
              <w:rPr>
                <w:rFonts w:hint="eastAsia"/>
                <w:vertAlign w:val="baseline"/>
                <w:lang w:val="en-US" w:eastAsia="zh-CN"/>
              </w:rPr>
              <w:t>1</w:t>
            </w:r>
          </w:p>
        </w:tc>
        <w:tc>
          <w:tcPr>
            <w:tcW w:w="2042" w:type="dxa"/>
            <w:noWrap w:val="0"/>
            <w:vAlign w:val="center"/>
          </w:tcPr>
          <w:p>
            <w:pPr>
              <w:jc w:val="both"/>
              <w:rPr>
                <w:rFonts w:hint="eastAsia"/>
                <w:vertAlign w:val="baseline"/>
                <w:lang w:eastAsia="zh-CN"/>
              </w:rPr>
            </w:pPr>
            <w:r>
              <w:rPr>
                <w:rFonts w:hint="eastAsia"/>
                <w:vertAlign w:val="baseline"/>
                <w:lang w:eastAsia="zh-CN"/>
              </w:rPr>
              <w:t>投标人的综合情况、履行合同的能力</w:t>
            </w:r>
          </w:p>
        </w:tc>
        <w:tc>
          <w:tcPr>
            <w:tcW w:w="4282" w:type="dxa"/>
            <w:noWrap w:val="0"/>
            <w:vAlign w:val="center"/>
          </w:tcPr>
          <w:p>
            <w:pPr>
              <w:numPr>
                <w:ilvl w:val="0"/>
                <w:numId w:val="13"/>
              </w:numPr>
              <w:jc w:val="both"/>
              <w:rPr>
                <w:rFonts w:hint="eastAsia"/>
                <w:vertAlign w:val="baseline"/>
                <w:lang w:eastAsia="zh-CN"/>
              </w:rPr>
            </w:pPr>
            <w:r>
              <w:rPr>
                <w:rFonts w:hint="eastAsia"/>
                <w:vertAlign w:val="baseline"/>
                <w:lang w:eastAsia="zh-CN"/>
              </w:rPr>
              <w:t>投标人的综合实力，从规模、人员、行业获奖等方面进行评定。（</w:t>
            </w:r>
            <w:r>
              <w:rPr>
                <w:rFonts w:hint="eastAsia"/>
                <w:vertAlign w:val="baseline"/>
                <w:lang w:val="en-US" w:eastAsia="zh-CN"/>
              </w:rPr>
              <w:t>10分</w:t>
            </w:r>
            <w:r>
              <w:rPr>
                <w:rFonts w:hint="eastAsia"/>
                <w:vertAlign w:val="baseline"/>
                <w:lang w:eastAsia="zh-CN"/>
              </w:rPr>
              <w:t>）</w:t>
            </w:r>
          </w:p>
          <w:p>
            <w:pPr>
              <w:numPr>
                <w:ilvl w:val="0"/>
                <w:numId w:val="13"/>
              </w:numPr>
              <w:jc w:val="both"/>
              <w:rPr>
                <w:rFonts w:hint="eastAsia"/>
                <w:vertAlign w:val="baseline"/>
                <w:lang w:eastAsia="zh-CN"/>
              </w:rPr>
            </w:pPr>
            <w:r>
              <w:rPr>
                <w:rFonts w:hint="eastAsia"/>
                <w:vertAlign w:val="baseline"/>
                <w:lang w:eastAsia="zh-CN"/>
              </w:rPr>
              <w:t>从投标人服务承诺和保证、综合实力、达标效果等方面综合考虑，是否能较好地履行合同</w:t>
            </w:r>
            <w:r>
              <w:rPr>
                <w:rFonts w:hint="eastAsia"/>
                <w:vertAlign w:val="baseline"/>
                <w:lang w:val="en-US" w:eastAsia="zh-CN"/>
              </w:rPr>
              <w:t>。（5分）</w:t>
            </w:r>
          </w:p>
        </w:tc>
        <w:tc>
          <w:tcPr>
            <w:tcW w:w="844" w:type="dxa"/>
            <w:noWrap w:val="0"/>
            <w:vAlign w:val="center"/>
          </w:tcPr>
          <w:p>
            <w:pPr>
              <w:jc w:val="center"/>
              <w:rPr>
                <w:rFonts w:hint="eastAsia"/>
                <w:vertAlign w:val="baseline"/>
                <w:lang w:eastAsia="zh-CN"/>
              </w:rPr>
            </w:pPr>
          </w:p>
          <w:p>
            <w:pPr>
              <w:bidi w:val="0"/>
              <w:jc w:val="center"/>
              <w:rPr>
                <w:rFonts w:hint="eastAsia" w:ascii="Calibri" w:hAnsi="Calibri" w:eastAsia="宋体" w:cs="Times New Roman"/>
                <w:kern w:val="2"/>
                <w:sz w:val="21"/>
                <w:szCs w:val="24"/>
                <w:lang w:val="en-US" w:eastAsia="zh-CN" w:bidi="ar-SA"/>
              </w:rPr>
            </w:pPr>
          </w:p>
          <w:p>
            <w:pPr>
              <w:bidi w:val="0"/>
              <w:jc w:val="center"/>
              <w:rPr>
                <w:rFonts w:hint="default"/>
                <w:lang w:val="en-US" w:eastAsia="zh-CN"/>
              </w:rPr>
            </w:pPr>
            <w:r>
              <w:rPr>
                <w:rFonts w:hint="eastAsia"/>
                <w:lang w:val="en-US" w:eastAsia="zh-CN"/>
              </w:rPr>
              <w:t>15</w:t>
            </w:r>
          </w:p>
        </w:tc>
        <w:tc>
          <w:tcPr>
            <w:tcW w:w="898" w:type="dxa"/>
            <w:noWrap w:val="0"/>
            <w:vAlign w:val="center"/>
          </w:tcPr>
          <w:p>
            <w:pPr>
              <w:jc w:val="both"/>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652" w:type="dxa"/>
            <w:noWrap w:val="0"/>
            <w:vAlign w:val="center"/>
          </w:tcPr>
          <w:p>
            <w:pPr>
              <w:jc w:val="both"/>
              <w:rPr>
                <w:rFonts w:hint="default"/>
                <w:vertAlign w:val="baseline"/>
                <w:lang w:val="en-US" w:eastAsia="zh-CN"/>
              </w:rPr>
            </w:pPr>
            <w:r>
              <w:rPr>
                <w:rFonts w:hint="eastAsia"/>
                <w:vertAlign w:val="baseline"/>
                <w:lang w:val="en-US" w:eastAsia="zh-CN"/>
              </w:rPr>
              <w:t>2</w:t>
            </w:r>
          </w:p>
        </w:tc>
        <w:tc>
          <w:tcPr>
            <w:tcW w:w="2042" w:type="dxa"/>
            <w:noWrap w:val="0"/>
            <w:vAlign w:val="center"/>
          </w:tcPr>
          <w:p>
            <w:pPr>
              <w:jc w:val="both"/>
              <w:rPr>
                <w:rFonts w:hint="eastAsia"/>
                <w:vertAlign w:val="baseline"/>
                <w:lang w:eastAsia="zh-CN"/>
              </w:rPr>
            </w:pPr>
            <w:r>
              <w:rPr>
                <w:rFonts w:hint="eastAsia"/>
                <w:vertAlign w:val="baseline"/>
                <w:lang w:eastAsia="zh-CN"/>
              </w:rPr>
              <w:t>相关业绩证明材料</w:t>
            </w:r>
          </w:p>
        </w:tc>
        <w:tc>
          <w:tcPr>
            <w:tcW w:w="4282" w:type="dxa"/>
            <w:noWrap w:val="0"/>
            <w:vAlign w:val="center"/>
          </w:tcPr>
          <w:p>
            <w:pPr>
              <w:jc w:val="both"/>
              <w:rPr>
                <w:rFonts w:hint="default"/>
                <w:vertAlign w:val="baseline"/>
                <w:lang w:val="en-US" w:eastAsia="zh-CN"/>
              </w:rPr>
            </w:pPr>
            <w:r>
              <w:rPr>
                <w:rFonts w:hint="eastAsia"/>
                <w:vertAlign w:val="baseline"/>
                <w:lang w:eastAsia="zh-CN"/>
              </w:rPr>
              <w:t>投标人是否与企、事业单位合作或代理过有影响力案件等相关业绩，是否有应收账款催收经验</w:t>
            </w:r>
            <w:r>
              <w:rPr>
                <w:rFonts w:hint="eastAsia"/>
                <w:vertAlign w:val="baseline"/>
                <w:lang w:val="en-US" w:eastAsia="zh-CN"/>
              </w:rPr>
              <w:t>。</w:t>
            </w:r>
          </w:p>
        </w:tc>
        <w:tc>
          <w:tcPr>
            <w:tcW w:w="844" w:type="dxa"/>
            <w:noWrap w:val="0"/>
            <w:vAlign w:val="center"/>
          </w:tcPr>
          <w:p>
            <w:pPr>
              <w:jc w:val="center"/>
              <w:rPr>
                <w:rFonts w:hint="default"/>
                <w:vertAlign w:val="baseline"/>
                <w:lang w:val="en-US" w:eastAsia="zh-CN"/>
              </w:rPr>
            </w:pPr>
            <w:r>
              <w:rPr>
                <w:rFonts w:hint="eastAsia"/>
                <w:vertAlign w:val="baseline"/>
                <w:lang w:val="en-US" w:eastAsia="zh-CN"/>
              </w:rPr>
              <w:t>10</w:t>
            </w:r>
          </w:p>
        </w:tc>
        <w:tc>
          <w:tcPr>
            <w:tcW w:w="898" w:type="dxa"/>
            <w:noWrap w:val="0"/>
            <w:vAlign w:val="center"/>
          </w:tcPr>
          <w:p>
            <w:pPr>
              <w:jc w:val="both"/>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3" w:hRule="atLeast"/>
          <w:jc w:val="center"/>
        </w:trPr>
        <w:tc>
          <w:tcPr>
            <w:tcW w:w="652" w:type="dxa"/>
            <w:noWrap w:val="0"/>
            <w:vAlign w:val="center"/>
          </w:tcPr>
          <w:p>
            <w:pPr>
              <w:jc w:val="both"/>
              <w:rPr>
                <w:rFonts w:hint="default"/>
                <w:vertAlign w:val="baseline"/>
                <w:lang w:val="en-US" w:eastAsia="zh-CN"/>
              </w:rPr>
            </w:pPr>
            <w:r>
              <w:rPr>
                <w:rFonts w:hint="eastAsia"/>
                <w:vertAlign w:val="baseline"/>
                <w:lang w:val="en-US" w:eastAsia="zh-CN"/>
              </w:rPr>
              <w:t>3</w:t>
            </w:r>
          </w:p>
        </w:tc>
        <w:tc>
          <w:tcPr>
            <w:tcW w:w="2042" w:type="dxa"/>
            <w:noWrap w:val="0"/>
            <w:vAlign w:val="center"/>
          </w:tcPr>
          <w:p>
            <w:pPr>
              <w:jc w:val="both"/>
              <w:rPr>
                <w:rFonts w:hint="eastAsia"/>
                <w:vertAlign w:val="baseline"/>
                <w:lang w:eastAsia="zh-CN"/>
              </w:rPr>
            </w:pPr>
            <w:r>
              <w:rPr>
                <w:rFonts w:hint="eastAsia"/>
                <w:vertAlign w:val="baseline"/>
                <w:lang w:eastAsia="zh-CN"/>
              </w:rPr>
              <w:t>职业道德评定</w:t>
            </w:r>
          </w:p>
        </w:tc>
        <w:tc>
          <w:tcPr>
            <w:tcW w:w="4282" w:type="dxa"/>
            <w:noWrap w:val="0"/>
            <w:vAlign w:val="center"/>
          </w:tcPr>
          <w:p>
            <w:pPr>
              <w:jc w:val="both"/>
              <w:rPr>
                <w:rFonts w:hint="eastAsia"/>
                <w:vertAlign w:val="baseline"/>
                <w:lang w:eastAsia="zh-CN"/>
              </w:rPr>
            </w:pPr>
            <w:r>
              <w:rPr>
                <w:rFonts w:hint="eastAsia"/>
                <w:vertAlign w:val="baseline"/>
                <w:lang w:eastAsia="zh-CN"/>
              </w:rPr>
              <w:t>投标单位有无处罚或行业处分，履行本项目的律师有无处罚和行业处分</w:t>
            </w:r>
            <w:r>
              <w:rPr>
                <w:rFonts w:hint="eastAsia"/>
                <w:color w:val="auto"/>
                <w:vertAlign w:val="baseline"/>
                <w:lang w:eastAsia="zh-CN"/>
              </w:rPr>
              <w:t>。</w:t>
            </w:r>
          </w:p>
        </w:tc>
        <w:tc>
          <w:tcPr>
            <w:tcW w:w="844" w:type="dxa"/>
            <w:noWrap w:val="0"/>
            <w:vAlign w:val="center"/>
          </w:tcPr>
          <w:p>
            <w:pPr>
              <w:jc w:val="center"/>
              <w:rPr>
                <w:rFonts w:hint="default"/>
                <w:vertAlign w:val="baseline"/>
                <w:lang w:val="en-US" w:eastAsia="zh-CN"/>
              </w:rPr>
            </w:pPr>
            <w:r>
              <w:rPr>
                <w:rFonts w:hint="eastAsia"/>
                <w:vertAlign w:val="baseline"/>
                <w:lang w:val="en-US" w:eastAsia="zh-CN"/>
              </w:rPr>
              <w:t>10</w:t>
            </w:r>
          </w:p>
        </w:tc>
        <w:tc>
          <w:tcPr>
            <w:tcW w:w="898" w:type="dxa"/>
            <w:noWrap w:val="0"/>
            <w:vAlign w:val="center"/>
          </w:tcPr>
          <w:p>
            <w:pPr>
              <w:jc w:val="both"/>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jc w:val="center"/>
        </w:trPr>
        <w:tc>
          <w:tcPr>
            <w:tcW w:w="652" w:type="dxa"/>
            <w:noWrap w:val="0"/>
            <w:vAlign w:val="center"/>
          </w:tcPr>
          <w:p>
            <w:pPr>
              <w:jc w:val="both"/>
              <w:rPr>
                <w:rFonts w:hint="default"/>
                <w:vertAlign w:val="baseline"/>
                <w:lang w:val="en-US" w:eastAsia="zh-CN"/>
              </w:rPr>
            </w:pPr>
            <w:r>
              <w:rPr>
                <w:rFonts w:hint="eastAsia"/>
                <w:vertAlign w:val="baseline"/>
                <w:lang w:val="en-US" w:eastAsia="zh-CN"/>
              </w:rPr>
              <w:t>4</w:t>
            </w:r>
          </w:p>
        </w:tc>
        <w:tc>
          <w:tcPr>
            <w:tcW w:w="2042" w:type="dxa"/>
            <w:noWrap w:val="0"/>
            <w:vAlign w:val="center"/>
          </w:tcPr>
          <w:p>
            <w:pPr>
              <w:jc w:val="both"/>
              <w:rPr>
                <w:rFonts w:hint="eastAsia"/>
                <w:vertAlign w:val="baseline"/>
                <w:lang w:eastAsia="zh-CN"/>
              </w:rPr>
            </w:pPr>
            <w:r>
              <w:rPr>
                <w:rFonts w:hint="eastAsia"/>
                <w:vertAlign w:val="baseline"/>
                <w:lang w:eastAsia="zh-CN"/>
              </w:rPr>
              <w:t>现场综合考核</w:t>
            </w:r>
          </w:p>
        </w:tc>
        <w:tc>
          <w:tcPr>
            <w:tcW w:w="4282" w:type="dxa"/>
            <w:noWrap w:val="0"/>
            <w:vAlign w:val="center"/>
          </w:tcPr>
          <w:p>
            <w:pPr>
              <w:jc w:val="both"/>
              <w:rPr>
                <w:rFonts w:hint="eastAsia"/>
                <w:vertAlign w:val="baseline"/>
                <w:lang w:eastAsia="zh-CN"/>
              </w:rPr>
            </w:pPr>
            <w:r>
              <w:rPr>
                <w:rFonts w:hint="eastAsia"/>
                <w:vertAlign w:val="baseline"/>
                <w:lang w:eastAsia="zh-CN"/>
              </w:rPr>
              <w:t>由招标单位根据公司应收账款纠纷问题提出意见进行现场考核打分。</w:t>
            </w:r>
          </w:p>
        </w:tc>
        <w:tc>
          <w:tcPr>
            <w:tcW w:w="844" w:type="dxa"/>
            <w:noWrap w:val="0"/>
            <w:vAlign w:val="center"/>
          </w:tcPr>
          <w:p>
            <w:pPr>
              <w:jc w:val="center"/>
              <w:rPr>
                <w:rFonts w:hint="default"/>
                <w:vertAlign w:val="baseline"/>
                <w:lang w:val="en-US" w:eastAsia="zh-CN"/>
              </w:rPr>
            </w:pPr>
            <w:r>
              <w:rPr>
                <w:rFonts w:hint="eastAsia"/>
                <w:vertAlign w:val="baseline"/>
                <w:lang w:val="en-US" w:eastAsia="zh-CN"/>
              </w:rPr>
              <w:t>25</w:t>
            </w:r>
          </w:p>
        </w:tc>
        <w:tc>
          <w:tcPr>
            <w:tcW w:w="898" w:type="dxa"/>
            <w:noWrap w:val="0"/>
            <w:vAlign w:val="center"/>
          </w:tcPr>
          <w:p>
            <w:pPr>
              <w:jc w:val="both"/>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52" w:type="dxa"/>
            <w:noWrap w:val="0"/>
            <w:vAlign w:val="center"/>
          </w:tcPr>
          <w:p>
            <w:pPr>
              <w:jc w:val="both"/>
              <w:rPr>
                <w:rFonts w:hint="default"/>
                <w:vertAlign w:val="baseline"/>
                <w:lang w:val="en-US" w:eastAsia="zh-CN"/>
              </w:rPr>
            </w:pPr>
            <w:r>
              <w:rPr>
                <w:rFonts w:hint="eastAsia"/>
                <w:vertAlign w:val="baseline"/>
                <w:lang w:val="en-US" w:eastAsia="zh-CN"/>
              </w:rPr>
              <w:t>5</w:t>
            </w:r>
          </w:p>
        </w:tc>
        <w:tc>
          <w:tcPr>
            <w:tcW w:w="2042" w:type="dxa"/>
            <w:noWrap w:val="0"/>
            <w:vAlign w:val="center"/>
          </w:tcPr>
          <w:p>
            <w:pPr>
              <w:jc w:val="both"/>
              <w:rPr>
                <w:rFonts w:hint="eastAsia"/>
                <w:color w:val="auto"/>
                <w:vertAlign w:val="baseline"/>
                <w:lang w:eastAsia="zh-CN"/>
              </w:rPr>
            </w:pPr>
            <w:r>
              <w:rPr>
                <w:rFonts w:hint="eastAsia"/>
                <w:color w:val="auto"/>
                <w:vertAlign w:val="baseline"/>
                <w:lang w:eastAsia="zh-CN"/>
              </w:rPr>
              <w:t>报价情况</w:t>
            </w:r>
          </w:p>
        </w:tc>
        <w:tc>
          <w:tcPr>
            <w:tcW w:w="4282" w:type="dxa"/>
            <w:noWrap w:val="0"/>
            <w:vAlign w:val="center"/>
          </w:tcPr>
          <w:p>
            <w:pPr>
              <w:jc w:val="both"/>
              <w:rPr>
                <w:rFonts w:hint="default"/>
                <w:color w:val="auto"/>
                <w:vertAlign w:val="baseline"/>
                <w:lang w:val="en-US" w:eastAsia="zh-CN"/>
              </w:rPr>
            </w:pPr>
            <w:r>
              <w:rPr>
                <w:rFonts w:hint="eastAsia"/>
                <w:color w:val="auto"/>
                <w:vertAlign w:val="baseline"/>
                <w:lang w:eastAsia="zh-CN"/>
              </w:rPr>
              <w:t>综合报价越低，得分越高（</w:t>
            </w:r>
            <w:r>
              <w:rPr>
                <w:rFonts w:hint="eastAsia"/>
                <w:color w:val="auto"/>
                <w:vertAlign w:val="baseline"/>
                <w:lang w:val="en-US" w:eastAsia="zh-CN"/>
              </w:rPr>
              <w:t>40分</w:t>
            </w:r>
            <w:r>
              <w:rPr>
                <w:rFonts w:hint="eastAsia"/>
                <w:color w:val="auto"/>
                <w:vertAlign w:val="baseline"/>
                <w:lang w:eastAsia="zh-CN"/>
              </w:rPr>
              <w:t>）</w:t>
            </w:r>
          </w:p>
        </w:tc>
        <w:tc>
          <w:tcPr>
            <w:tcW w:w="844" w:type="dxa"/>
            <w:noWrap w:val="0"/>
            <w:vAlign w:val="center"/>
          </w:tcPr>
          <w:p>
            <w:pPr>
              <w:jc w:val="center"/>
              <w:rPr>
                <w:rFonts w:hint="default"/>
                <w:vertAlign w:val="baseline"/>
                <w:lang w:val="en-US" w:eastAsia="zh-CN"/>
              </w:rPr>
            </w:pPr>
            <w:r>
              <w:rPr>
                <w:rFonts w:hint="eastAsia"/>
                <w:vertAlign w:val="baseline"/>
                <w:lang w:val="en-US" w:eastAsia="zh-CN"/>
              </w:rPr>
              <w:t>40</w:t>
            </w:r>
          </w:p>
        </w:tc>
        <w:tc>
          <w:tcPr>
            <w:tcW w:w="898" w:type="dxa"/>
            <w:noWrap w:val="0"/>
            <w:vAlign w:val="center"/>
          </w:tcPr>
          <w:p>
            <w:pPr>
              <w:jc w:val="both"/>
              <w:rPr>
                <w:rFonts w:hint="eastAsia"/>
                <w:vertAlign w:val="baseline"/>
                <w:lang w:eastAsia="zh-CN"/>
              </w:rPr>
            </w:pPr>
          </w:p>
        </w:tc>
      </w:tr>
    </w:tbl>
    <w:p>
      <w:pPr>
        <w:pStyle w:val="4"/>
        <w:ind w:left="-5" w:right="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p>
    <w:p>
      <w:pPr>
        <w:pStyle w:val="4"/>
        <w:ind w:left="-5" w:right="0"/>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评委会全体成员签字/日期：</w:t>
      </w:r>
    </w:p>
    <w:p>
      <w:pPr>
        <w:rPr>
          <w:color w:val="auto"/>
        </w:rPr>
      </w:pPr>
    </w:p>
    <w:p>
      <w:pPr>
        <w:rPr>
          <w:color w:val="auto"/>
        </w:rPr>
      </w:pPr>
    </w:p>
    <w:p>
      <w:pPr>
        <w:pStyle w:val="12"/>
        <w:ind w:left="0" w:firstLine="0"/>
        <w:rPr>
          <w:color w:val="auto"/>
        </w:rPr>
      </w:pPr>
    </w:p>
    <w:p>
      <w:pPr>
        <w:pStyle w:val="4"/>
        <w:ind w:left="-5" w:right="0"/>
        <w:rPr>
          <w:color w:val="auto"/>
        </w:rPr>
      </w:pPr>
      <w:bookmarkStart w:id="44" w:name="_Toc31154"/>
      <w:r>
        <w:rPr>
          <w:color w:val="auto"/>
        </w:rPr>
        <w:t>1. 评标方法</w:t>
      </w:r>
      <w:bookmarkEnd w:id="44"/>
    </w:p>
    <w:p>
      <w:pPr>
        <w:spacing w:after="0" w:line="440" w:lineRule="exact"/>
        <w:ind w:left="210" w:leftChars="100" w:firstLine="407" w:firstLineChars="194"/>
        <w:rPr>
          <w:color w:val="auto"/>
        </w:rPr>
      </w:pPr>
      <w:r>
        <w:rPr>
          <w:color w:val="auto"/>
        </w:rPr>
        <w:t>本次评标采用综合评估法</w:t>
      </w:r>
      <w:r>
        <w:rPr>
          <w:rFonts w:hint="eastAsia"/>
          <w:color w:val="auto"/>
        </w:rPr>
        <w:t>I</w:t>
      </w:r>
      <w:r>
        <w:rPr>
          <w:color w:val="auto"/>
        </w:rPr>
        <w:t>。评标委员会对满足</w:t>
      </w:r>
      <w:r>
        <w:rPr>
          <w:rFonts w:hint="eastAsia"/>
          <w:color w:val="auto"/>
        </w:rPr>
        <w:t>招（议）标</w:t>
      </w:r>
      <w:r>
        <w:rPr>
          <w:color w:val="auto"/>
        </w:rPr>
        <w:t>文件实质性要求的投标文件，按照</w:t>
      </w:r>
      <w:r>
        <w:rPr>
          <w:rFonts w:hint="eastAsia"/>
          <w:color w:val="auto"/>
          <w:lang w:eastAsia="zh-CN"/>
        </w:rPr>
        <w:t>以上表格</w:t>
      </w:r>
      <w:r>
        <w:rPr>
          <w:color w:val="auto"/>
        </w:rPr>
        <w:t>评分标准进行打分，并按得分由高到低顺序推荐中标候选人，或根据</w:t>
      </w:r>
      <w:r>
        <w:rPr>
          <w:rFonts w:hint="eastAsia"/>
          <w:color w:val="auto"/>
        </w:rPr>
        <w:t>招（议）标</w:t>
      </w:r>
      <w:r>
        <w:rPr>
          <w:color w:val="auto"/>
        </w:rPr>
        <w:t>人授权直接确定中标人。综合评分相等时，以投标报价低的优先。</w:t>
      </w:r>
    </w:p>
    <w:p>
      <w:pPr>
        <w:pStyle w:val="4"/>
        <w:ind w:left="-5" w:right="0"/>
        <w:rPr>
          <w:color w:val="auto"/>
        </w:rPr>
      </w:pPr>
      <w:bookmarkStart w:id="45" w:name="_Toc884"/>
      <w:r>
        <w:rPr>
          <w:rFonts w:hint="eastAsia"/>
          <w:color w:val="auto"/>
          <w:lang w:val="en-US" w:eastAsia="zh-CN"/>
        </w:rPr>
        <w:t>2</w:t>
      </w:r>
      <w:r>
        <w:rPr>
          <w:color w:val="auto"/>
        </w:rPr>
        <w:t>. 评标程序</w:t>
      </w:r>
      <w:bookmarkEnd w:id="45"/>
    </w:p>
    <w:p>
      <w:pPr>
        <w:spacing w:after="155"/>
        <w:ind w:left="429"/>
        <w:rPr>
          <w:color w:val="auto"/>
        </w:rPr>
      </w:pPr>
      <w:r>
        <w:rPr>
          <w:rFonts w:hint="eastAsia"/>
          <w:color w:val="auto"/>
          <w:lang w:val="en-US" w:eastAsia="zh-CN"/>
        </w:rPr>
        <w:t>2</w:t>
      </w:r>
      <w:r>
        <w:rPr>
          <w:color w:val="auto"/>
        </w:rPr>
        <w:t>.1评标委员会可以要求投标人提交第二章“投标人须知”规定的有关证明和证件的原件，</w:t>
      </w:r>
    </w:p>
    <w:p>
      <w:pPr>
        <w:spacing w:line="407" w:lineRule="auto"/>
        <w:ind w:left="-6"/>
        <w:rPr>
          <w:color w:val="auto"/>
        </w:rPr>
      </w:pPr>
      <w:r>
        <w:rPr>
          <w:color w:val="auto"/>
        </w:rPr>
        <w:t>以便核验。</w:t>
      </w:r>
    </w:p>
    <w:p>
      <w:pPr>
        <w:spacing w:after="155"/>
        <w:ind w:left="429"/>
        <w:rPr>
          <w:color w:val="auto"/>
        </w:rPr>
      </w:pPr>
      <w:r>
        <w:rPr>
          <w:rFonts w:hint="eastAsia"/>
          <w:color w:val="auto"/>
          <w:lang w:val="en-US" w:eastAsia="zh-CN"/>
        </w:rPr>
        <w:t>2</w:t>
      </w:r>
      <w:r>
        <w:rPr>
          <w:color w:val="auto"/>
        </w:rPr>
        <w:t>.2投标人有以下情形之一的，评标委员会应当否决其投标：</w:t>
      </w:r>
    </w:p>
    <w:p>
      <w:pPr>
        <w:numPr>
          <w:ilvl w:val="0"/>
          <w:numId w:val="14"/>
        </w:numPr>
        <w:spacing w:line="407" w:lineRule="auto"/>
        <w:ind w:firstLine="420"/>
        <w:rPr>
          <w:color w:val="auto"/>
        </w:rPr>
      </w:pPr>
      <w:r>
        <w:rPr>
          <w:color w:val="auto"/>
        </w:rPr>
        <w:t>投标文件没有对</w:t>
      </w:r>
      <w:r>
        <w:rPr>
          <w:rFonts w:hint="eastAsia"/>
          <w:color w:val="auto"/>
        </w:rPr>
        <w:t>招（议）标</w:t>
      </w:r>
      <w:r>
        <w:rPr>
          <w:color w:val="auto"/>
        </w:rPr>
        <w:t>文件的实质性要求和条件作出响应；</w:t>
      </w:r>
    </w:p>
    <w:p>
      <w:pPr>
        <w:numPr>
          <w:ilvl w:val="0"/>
          <w:numId w:val="14"/>
        </w:numPr>
        <w:spacing w:after="155"/>
        <w:ind w:firstLine="420"/>
        <w:rPr>
          <w:color w:val="auto"/>
        </w:rPr>
      </w:pPr>
      <w:r>
        <w:rPr>
          <w:color w:val="auto"/>
        </w:rPr>
        <w:t>有串通投标、弄虚作假、行贿等违法行为。</w:t>
      </w:r>
    </w:p>
    <w:p>
      <w:pPr>
        <w:numPr>
          <w:numId w:val="0"/>
        </w:numPr>
        <w:spacing w:after="155"/>
        <w:ind w:firstLine="420" w:firstLineChars="200"/>
        <w:rPr>
          <w:color w:val="auto"/>
        </w:rPr>
      </w:pPr>
      <w:r>
        <w:rPr>
          <w:rFonts w:hint="eastAsia"/>
          <w:color w:val="auto"/>
          <w:lang w:val="en-US" w:eastAsia="zh-CN"/>
        </w:rPr>
        <w:t>2</w:t>
      </w:r>
      <w:r>
        <w:rPr>
          <w:color w:val="auto"/>
        </w:rPr>
        <w:t>.3投标报价有算术错误及其他错误的，评标委员会按以下原则对投标报价进行修正，并要求投标人书面澄清确认。投标人拒不澄清确认的，评标委员会应当否决其投标</w:t>
      </w:r>
      <w:r>
        <w:rPr>
          <w:rFonts w:hint="eastAsia"/>
          <w:color w:val="auto"/>
          <w:lang w:eastAsia="zh-CN"/>
        </w:rPr>
        <w:t>。</w:t>
      </w:r>
    </w:p>
    <w:p>
      <w:pPr>
        <w:pStyle w:val="7"/>
        <w:ind w:left="132"/>
        <w:rPr>
          <w:color w:val="auto"/>
        </w:rPr>
      </w:pPr>
      <w:r>
        <w:rPr>
          <w:color w:val="auto"/>
        </w:rPr>
        <w:t>3.3 投标文件的澄清</w:t>
      </w:r>
    </w:p>
    <w:p>
      <w:pPr>
        <w:spacing w:line="407" w:lineRule="auto"/>
        <w:ind w:left="-15" w:firstLine="420"/>
        <w:rPr>
          <w:color w:val="auto"/>
        </w:rPr>
      </w:pPr>
      <w:r>
        <w:rPr>
          <w:color w:val="auto"/>
        </w:rPr>
        <w:t>3.3.1在评标过程中，评标委员会可以书面形式要求投标人对投标文件中含义不明确、对同类问题表述不一致或者有明显文字和计算错误的内容做必要的澄清、说明或补正。澄清、说明或补正应以书面方式进行。评标委员会不接受投标人主动提出的澄清、说明或补正。</w:t>
      </w:r>
    </w:p>
    <w:p>
      <w:pPr>
        <w:spacing w:line="407" w:lineRule="auto"/>
        <w:ind w:left="-15" w:firstLine="420"/>
        <w:rPr>
          <w:color w:val="auto"/>
        </w:rPr>
      </w:pPr>
      <w:r>
        <w:rPr>
          <w:color w:val="auto"/>
        </w:rPr>
        <w:t>3.3.2澄清、说明或补正不得超出投标文件的范围且不得改变投标文件的实质性内容，并构成投标文件的组成部分。</w:t>
      </w:r>
    </w:p>
    <w:p>
      <w:pPr>
        <w:spacing w:after="245" w:line="405" w:lineRule="auto"/>
        <w:ind w:left="-15" w:firstLine="420"/>
        <w:rPr>
          <w:color w:val="auto"/>
        </w:rPr>
      </w:pPr>
      <w:r>
        <w:rPr>
          <w:color w:val="auto"/>
        </w:rPr>
        <w:t>3.3.3评标委员会对投标人提交的澄清、说明或补正有疑问的，可以要求投标人进一步澄清、说明或补正，直至满足评标委员会的要求。</w:t>
      </w:r>
    </w:p>
    <w:p>
      <w:pPr>
        <w:spacing w:line="405" w:lineRule="auto"/>
        <w:ind w:left="0" w:firstLine="0"/>
        <w:rPr>
          <w:rFonts w:hint="eastAsia" w:ascii="黑体" w:hAnsi="黑体" w:eastAsia="黑体" w:cs="黑体"/>
          <w:color w:val="auto"/>
          <w:sz w:val="28"/>
          <w:szCs w:val="28"/>
        </w:rPr>
      </w:pPr>
      <w:r>
        <w:rPr>
          <w:rFonts w:hint="eastAsia" w:ascii="黑体" w:hAnsi="黑体" w:eastAsia="黑体" w:cs="黑体"/>
          <w:color w:val="auto"/>
          <w:sz w:val="28"/>
          <w:szCs w:val="28"/>
        </w:rPr>
        <w:t>3.4评标结果</w:t>
      </w:r>
    </w:p>
    <w:p>
      <w:pPr>
        <w:spacing w:line="405" w:lineRule="auto"/>
        <w:ind w:left="0" w:firstLine="420" w:firstLineChars="200"/>
        <w:rPr>
          <w:color w:val="auto"/>
        </w:rPr>
      </w:pPr>
      <w:r>
        <w:rPr>
          <w:color w:val="auto"/>
        </w:rPr>
        <w:t>3.4.1除第二章“投标人须知”前附表授权直接确定中标人外，评标委员会按照得分由高到低的顺序推荐中标候选人，并标明排序。</w:t>
      </w:r>
    </w:p>
    <w:p>
      <w:pPr>
        <w:ind w:left="429"/>
        <w:rPr>
          <w:color w:val="auto"/>
        </w:rPr>
      </w:pPr>
      <w:r>
        <w:rPr>
          <w:color w:val="auto"/>
        </w:rPr>
        <w:t>3.4.2评标委员会完成评标后，应当向</w:t>
      </w:r>
      <w:r>
        <w:rPr>
          <w:rFonts w:hint="eastAsia"/>
          <w:color w:val="auto"/>
        </w:rPr>
        <w:t>招（议）标</w:t>
      </w:r>
      <w:r>
        <w:rPr>
          <w:color w:val="auto"/>
        </w:rPr>
        <w:t>人提交书面评标报告和中标候选人名单。</w:t>
      </w:r>
    </w:p>
    <w:p>
      <w:pPr>
        <w:ind w:left="429"/>
        <w:rPr>
          <w:color w:val="auto"/>
        </w:rPr>
      </w:pPr>
    </w:p>
    <w:p>
      <w:pPr>
        <w:pStyle w:val="12"/>
        <w:rPr>
          <w:color w:val="auto"/>
        </w:rPr>
      </w:pPr>
    </w:p>
    <w:p>
      <w:pPr>
        <w:ind w:left="-6"/>
        <w:rPr>
          <w:color w:val="auto"/>
        </w:rPr>
      </w:pPr>
    </w:p>
    <w:p>
      <w:pPr>
        <w:spacing w:after="643" w:line="265" w:lineRule="auto"/>
        <w:ind w:left="-5" w:hanging="10"/>
        <w:rPr>
          <w:rFonts w:ascii="黑体" w:hAnsi="黑体" w:eastAsia="黑体" w:cs="黑体"/>
          <w:color w:val="auto"/>
          <w:sz w:val="32"/>
        </w:rPr>
      </w:pPr>
    </w:p>
    <w:p>
      <w:pPr>
        <w:spacing w:after="643" w:line="265" w:lineRule="auto"/>
        <w:ind w:left="-5" w:hanging="10"/>
        <w:rPr>
          <w:rFonts w:ascii="黑体" w:hAnsi="黑体" w:eastAsia="黑体" w:cs="黑体"/>
          <w:color w:val="auto"/>
          <w:sz w:val="32"/>
        </w:rPr>
      </w:pPr>
    </w:p>
    <w:p>
      <w:pPr>
        <w:spacing w:after="643" w:line="265" w:lineRule="auto"/>
        <w:ind w:left="-5" w:hanging="10"/>
        <w:rPr>
          <w:rFonts w:ascii="黑体" w:hAnsi="黑体" w:eastAsia="黑体" w:cs="黑体"/>
          <w:color w:val="auto"/>
          <w:sz w:val="32"/>
        </w:rPr>
      </w:pPr>
    </w:p>
    <w:p>
      <w:pPr>
        <w:spacing w:after="643" w:line="265" w:lineRule="auto"/>
        <w:ind w:left="-5" w:hanging="10"/>
        <w:rPr>
          <w:rFonts w:ascii="黑体" w:hAnsi="黑体" w:eastAsia="黑体" w:cs="黑体"/>
          <w:color w:val="auto"/>
          <w:sz w:val="32"/>
        </w:rPr>
      </w:pPr>
    </w:p>
    <w:p>
      <w:pPr>
        <w:spacing w:after="643" w:line="265" w:lineRule="auto"/>
        <w:ind w:left="0" w:leftChars="0" w:firstLine="0" w:firstLineChars="0"/>
        <w:rPr>
          <w:color w:val="auto"/>
        </w:rPr>
      </w:pPr>
      <w:r>
        <w:rPr>
          <w:rFonts w:ascii="黑体" w:hAnsi="黑体" w:eastAsia="黑体" w:cs="黑体"/>
          <w:color w:val="auto"/>
          <w:sz w:val="32"/>
        </w:rPr>
        <w:t>附表1：综合得分计算表</w:t>
      </w:r>
    </w:p>
    <w:p>
      <w:pPr>
        <w:pStyle w:val="8"/>
        <w:spacing w:after="553"/>
        <w:ind w:left="641" w:right="840"/>
        <w:jc w:val="center"/>
        <w:rPr>
          <w:color w:val="auto"/>
        </w:rPr>
      </w:pPr>
      <w:r>
        <w:rPr>
          <w:color w:val="auto"/>
        </w:rPr>
        <w:t>综合得分计算表</w:t>
      </w:r>
    </w:p>
    <w:p>
      <w:pPr>
        <w:spacing w:after="0" w:line="269" w:lineRule="auto"/>
        <w:ind w:left="1035" w:leftChars="-8" w:hanging="1052" w:hangingChars="501"/>
        <w:rPr>
          <w:rFonts w:hint="eastAsia" w:eastAsia="宋体"/>
          <w:color w:val="auto"/>
          <w:lang w:eastAsia="zh-CN"/>
        </w:rPr>
      </w:pPr>
      <w:r>
        <w:rPr>
          <w:color w:val="auto"/>
        </w:rPr>
        <w:t>项目名称：</w:t>
      </w:r>
      <w:bookmarkStart w:id="46" w:name="PO_projectName_12"/>
      <w:r>
        <w:rPr>
          <w:rFonts w:hint="eastAsia"/>
          <w:color w:val="auto"/>
          <w:lang w:eastAsia="zh-CN"/>
        </w:rPr>
        <w:t>立达股份应收账款项目</w:t>
      </w:r>
      <w:bookmarkEnd w:id="46"/>
    </w:p>
    <w:p>
      <w:pPr>
        <w:rPr>
          <w:color w:val="auto"/>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2169"/>
        <w:gridCol w:w="919"/>
        <w:gridCol w:w="1033"/>
        <w:gridCol w:w="1033"/>
        <w:gridCol w:w="1033"/>
        <w:gridCol w:w="1034"/>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099" w:hRule="atLeast"/>
          <w:jc w:val="center"/>
        </w:trPr>
        <w:tc>
          <w:tcPr>
            <w:tcW w:w="2169" w:type="dxa"/>
            <w:vAlign w:val="center"/>
          </w:tcPr>
          <w:p>
            <w:pPr>
              <w:keepNext w:val="0"/>
              <w:keepLines w:val="0"/>
              <w:pageBreakBefore w:val="0"/>
              <w:widowControl/>
              <w:kinsoku/>
              <w:wordWrap/>
              <w:overflowPunct/>
              <w:topLinePunct w:val="0"/>
              <w:autoSpaceDE/>
              <w:autoSpaceDN/>
              <w:bidi w:val="0"/>
              <w:adjustRightInd/>
              <w:snapToGrid/>
              <w:spacing w:after="0" w:line="272" w:lineRule="auto"/>
              <w:ind w:left="11" w:hanging="11"/>
              <w:jc w:val="center"/>
              <w:textAlignment w:val="auto"/>
              <w:rPr>
                <w:rFonts w:hint="eastAsia" w:eastAsia="宋体"/>
                <w:color w:val="auto"/>
                <w:vertAlign w:val="baseline"/>
                <w:lang w:eastAsia="zh-CN"/>
              </w:rPr>
            </w:pPr>
            <w:r>
              <w:rPr>
                <w:rFonts w:hint="eastAsia"/>
                <w:color w:val="auto"/>
                <w:vertAlign w:val="baseline"/>
                <w:lang w:eastAsia="zh-CN"/>
              </w:rPr>
              <w:t>投标单位名称</w:t>
            </w:r>
          </w:p>
        </w:tc>
        <w:tc>
          <w:tcPr>
            <w:tcW w:w="919" w:type="dxa"/>
            <w:vAlign w:val="center"/>
          </w:tcPr>
          <w:p>
            <w:pPr>
              <w:keepNext w:val="0"/>
              <w:keepLines w:val="0"/>
              <w:pageBreakBefore w:val="0"/>
              <w:widowControl/>
              <w:kinsoku/>
              <w:wordWrap/>
              <w:overflowPunct/>
              <w:topLinePunct w:val="0"/>
              <w:autoSpaceDE/>
              <w:autoSpaceDN/>
              <w:bidi w:val="0"/>
              <w:adjustRightInd/>
              <w:snapToGrid/>
              <w:spacing w:after="0" w:line="272" w:lineRule="auto"/>
              <w:ind w:left="11" w:hanging="11"/>
              <w:jc w:val="center"/>
              <w:textAlignment w:val="auto"/>
              <w:rPr>
                <w:rFonts w:hint="default" w:eastAsia="宋体"/>
                <w:color w:val="auto"/>
                <w:vertAlign w:val="baseline"/>
                <w:lang w:val="en-US" w:eastAsia="zh-CN"/>
              </w:rPr>
            </w:pPr>
            <w:r>
              <w:rPr>
                <w:rFonts w:hint="eastAsia"/>
                <w:color w:val="auto"/>
                <w:vertAlign w:val="baseline"/>
                <w:lang w:eastAsia="zh-CN"/>
              </w:rPr>
              <w:t>评审</w:t>
            </w:r>
            <w:r>
              <w:rPr>
                <w:rFonts w:hint="eastAsia"/>
                <w:color w:val="auto"/>
                <w:vertAlign w:val="baseline"/>
                <w:lang w:val="en-US" w:eastAsia="zh-CN"/>
              </w:rPr>
              <w:t>1分数</w:t>
            </w:r>
          </w:p>
        </w:tc>
        <w:tc>
          <w:tcPr>
            <w:tcW w:w="1033" w:type="dxa"/>
            <w:vAlign w:val="center"/>
          </w:tcPr>
          <w:p>
            <w:pPr>
              <w:keepNext w:val="0"/>
              <w:keepLines w:val="0"/>
              <w:pageBreakBefore w:val="0"/>
              <w:widowControl/>
              <w:kinsoku/>
              <w:wordWrap/>
              <w:overflowPunct/>
              <w:topLinePunct w:val="0"/>
              <w:autoSpaceDE/>
              <w:autoSpaceDN/>
              <w:bidi w:val="0"/>
              <w:adjustRightInd/>
              <w:snapToGrid/>
              <w:spacing w:after="0" w:line="272" w:lineRule="auto"/>
              <w:ind w:left="11" w:hanging="11"/>
              <w:jc w:val="center"/>
              <w:textAlignment w:val="auto"/>
              <w:rPr>
                <w:rFonts w:hint="default" w:eastAsia="宋体"/>
                <w:color w:val="auto"/>
                <w:vertAlign w:val="baseline"/>
                <w:lang w:val="en-US" w:eastAsia="zh-CN"/>
              </w:rPr>
            </w:pPr>
            <w:r>
              <w:rPr>
                <w:rFonts w:hint="eastAsia"/>
                <w:color w:val="auto"/>
                <w:vertAlign w:val="baseline"/>
                <w:lang w:eastAsia="zh-CN"/>
              </w:rPr>
              <w:t>评审</w:t>
            </w:r>
            <w:r>
              <w:rPr>
                <w:rFonts w:hint="eastAsia"/>
                <w:color w:val="auto"/>
                <w:vertAlign w:val="baseline"/>
                <w:lang w:val="en-US" w:eastAsia="zh-CN"/>
              </w:rPr>
              <w:t>2分数</w:t>
            </w:r>
          </w:p>
        </w:tc>
        <w:tc>
          <w:tcPr>
            <w:tcW w:w="1033" w:type="dxa"/>
            <w:vAlign w:val="center"/>
          </w:tcPr>
          <w:p>
            <w:pPr>
              <w:keepNext w:val="0"/>
              <w:keepLines w:val="0"/>
              <w:pageBreakBefore w:val="0"/>
              <w:widowControl/>
              <w:kinsoku/>
              <w:wordWrap/>
              <w:overflowPunct/>
              <w:topLinePunct w:val="0"/>
              <w:autoSpaceDE/>
              <w:autoSpaceDN/>
              <w:bidi w:val="0"/>
              <w:adjustRightInd/>
              <w:snapToGrid/>
              <w:spacing w:after="0" w:line="272" w:lineRule="auto"/>
              <w:ind w:left="11" w:hanging="11"/>
              <w:jc w:val="center"/>
              <w:textAlignment w:val="auto"/>
              <w:rPr>
                <w:rFonts w:hint="default" w:eastAsia="宋体"/>
                <w:color w:val="auto"/>
                <w:vertAlign w:val="baseline"/>
                <w:lang w:val="en-US" w:eastAsia="zh-CN"/>
              </w:rPr>
            </w:pPr>
            <w:r>
              <w:rPr>
                <w:rFonts w:hint="eastAsia"/>
                <w:color w:val="auto"/>
                <w:vertAlign w:val="baseline"/>
                <w:lang w:eastAsia="zh-CN"/>
              </w:rPr>
              <w:t>评审</w:t>
            </w:r>
            <w:r>
              <w:rPr>
                <w:rFonts w:hint="eastAsia"/>
                <w:color w:val="auto"/>
                <w:vertAlign w:val="baseline"/>
                <w:lang w:val="en-US" w:eastAsia="zh-CN"/>
              </w:rPr>
              <w:t>3分数</w:t>
            </w:r>
          </w:p>
        </w:tc>
        <w:tc>
          <w:tcPr>
            <w:tcW w:w="1033" w:type="dxa"/>
            <w:vAlign w:val="center"/>
          </w:tcPr>
          <w:p>
            <w:pPr>
              <w:keepNext w:val="0"/>
              <w:keepLines w:val="0"/>
              <w:pageBreakBefore w:val="0"/>
              <w:widowControl/>
              <w:kinsoku/>
              <w:wordWrap/>
              <w:overflowPunct/>
              <w:topLinePunct w:val="0"/>
              <w:autoSpaceDE/>
              <w:autoSpaceDN/>
              <w:bidi w:val="0"/>
              <w:adjustRightInd/>
              <w:snapToGrid/>
              <w:spacing w:after="0" w:line="272" w:lineRule="auto"/>
              <w:ind w:left="11" w:hanging="11"/>
              <w:jc w:val="center"/>
              <w:textAlignment w:val="auto"/>
              <w:rPr>
                <w:rFonts w:hint="default" w:eastAsia="宋体"/>
                <w:color w:val="auto"/>
                <w:vertAlign w:val="baseline"/>
                <w:lang w:val="en-US" w:eastAsia="zh-CN"/>
              </w:rPr>
            </w:pPr>
            <w:r>
              <w:rPr>
                <w:rFonts w:hint="eastAsia"/>
                <w:color w:val="auto"/>
                <w:vertAlign w:val="baseline"/>
                <w:lang w:eastAsia="zh-CN"/>
              </w:rPr>
              <w:t>评审</w:t>
            </w:r>
            <w:r>
              <w:rPr>
                <w:rFonts w:hint="eastAsia"/>
                <w:color w:val="auto"/>
                <w:vertAlign w:val="baseline"/>
                <w:lang w:val="en-US" w:eastAsia="zh-CN"/>
              </w:rPr>
              <w:t>4分数</w:t>
            </w:r>
          </w:p>
        </w:tc>
        <w:tc>
          <w:tcPr>
            <w:tcW w:w="1034" w:type="dxa"/>
            <w:vAlign w:val="center"/>
          </w:tcPr>
          <w:p>
            <w:pPr>
              <w:keepNext w:val="0"/>
              <w:keepLines w:val="0"/>
              <w:pageBreakBefore w:val="0"/>
              <w:widowControl/>
              <w:kinsoku/>
              <w:wordWrap/>
              <w:overflowPunct/>
              <w:topLinePunct w:val="0"/>
              <w:autoSpaceDE/>
              <w:autoSpaceDN/>
              <w:bidi w:val="0"/>
              <w:adjustRightInd/>
              <w:snapToGrid/>
              <w:spacing w:after="0" w:line="272" w:lineRule="auto"/>
              <w:ind w:left="11" w:hanging="11"/>
              <w:jc w:val="center"/>
              <w:textAlignment w:val="auto"/>
              <w:rPr>
                <w:rFonts w:hint="default" w:eastAsia="宋体"/>
                <w:color w:val="auto"/>
                <w:vertAlign w:val="baseline"/>
                <w:lang w:val="en-US" w:eastAsia="zh-CN"/>
              </w:rPr>
            </w:pPr>
            <w:r>
              <w:rPr>
                <w:rFonts w:hint="eastAsia"/>
                <w:color w:val="auto"/>
                <w:vertAlign w:val="baseline"/>
                <w:lang w:eastAsia="zh-CN"/>
              </w:rPr>
              <w:t>评审</w:t>
            </w:r>
            <w:r>
              <w:rPr>
                <w:rFonts w:hint="eastAsia"/>
                <w:color w:val="auto"/>
                <w:vertAlign w:val="baseline"/>
                <w:lang w:val="en-US" w:eastAsia="zh-CN"/>
              </w:rPr>
              <w:t>5分数</w:t>
            </w:r>
          </w:p>
        </w:tc>
        <w:tc>
          <w:tcPr>
            <w:tcW w:w="1034" w:type="dxa"/>
            <w:vAlign w:val="center"/>
          </w:tcPr>
          <w:p>
            <w:pPr>
              <w:keepNext w:val="0"/>
              <w:keepLines w:val="0"/>
              <w:pageBreakBefore w:val="0"/>
              <w:widowControl/>
              <w:kinsoku/>
              <w:wordWrap/>
              <w:overflowPunct/>
              <w:topLinePunct w:val="0"/>
              <w:autoSpaceDE/>
              <w:autoSpaceDN/>
              <w:bidi w:val="0"/>
              <w:adjustRightInd/>
              <w:snapToGrid/>
              <w:spacing w:after="0" w:line="272" w:lineRule="auto"/>
              <w:ind w:left="11" w:hanging="11"/>
              <w:jc w:val="center"/>
              <w:textAlignment w:val="auto"/>
              <w:rPr>
                <w:rFonts w:hint="eastAsia"/>
                <w:color w:val="auto"/>
                <w:vertAlign w:val="baseline"/>
                <w:lang w:eastAsia="zh-CN"/>
              </w:rPr>
            </w:pPr>
            <w:r>
              <w:rPr>
                <w:rFonts w:hint="eastAsia"/>
                <w:color w:val="auto"/>
                <w:vertAlign w:val="baseline"/>
                <w:lang w:eastAsia="zh-CN"/>
              </w:rPr>
              <w:t>综合</w:t>
            </w:r>
          </w:p>
          <w:p>
            <w:pPr>
              <w:keepNext w:val="0"/>
              <w:keepLines w:val="0"/>
              <w:pageBreakBefore w:val="0"/>
              <w:widowControl/>
              <w:kinsoku/>
              <w:wordWrap/>
              <w:overflowPunct/>
              <w:topLinePunct w:val="0"/>
              <w:autoSpaceDE/>
              <w:autoSpaceDN/>
              <w:bidi w:val="0"/>
              <w:adjustRightInd/>
              <w:snapToGrid/>
              <w:spacing w:after="0" w:line="272" w:lineRule="auto"/>
              <w:ind w:left="11" w:hanging="11"/>
              <w:jc w:val="center"/>
              <w:textAlignment w:val="auto"/>
              <w:rPr>
                <w:rFonts w:hint="eastAsia" w:eastAsia="宋体"/>
                <w:color w:val="auto"/>
                <w:vertAlign w:val="baseline"/>
                <w:lang w:eastAsia="zh-CN"/>
              </w:rPr>
            </w:pPr>
            <w:r>
              <w:rPr>
                <w:rFonts w:hint="eastAsia"/>
                <w:color w:val="auto"/>
                <w:vertAlign w:val="baseline"/>
                <w:lang w:eastAsia="zh-CN"/>
              </w:rPr>
              <w:t>平均分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57" w:hRule="atLeast"/>
          <w:jc w:val="center"/>
        </w:trPr>
        <w:tc>
          <w:tcPr>
            <w:tcW w:w="2169" w:type="dxa"/>
            <w:vAlign w:val="center"/>
          </w:tcPr>
          <w:p>
            <w:pPr>
              <w:keepNext w:val="0"/>
              <w:keepLines w:val="0"/>
              <w:pageBreakBefore w:val="0"/>
              <w:widowControl/>
              <w:kinsoku/>
              <w:wordWrap/>
              <w:overflowPunct/>
              <w:topLinePunct w:val="0"/>
              <w:autoSpaceDE/>
              <w:autoSpaceDN/>
              <w:bidi w:val="0"/>
              <w:adjustRightInd/>
              <w:snapToGrid/>
              <w:spacing w:after="0" w:line="272" w:lineRule="auto"/>
              <w:ind w:left="11" w:hanging="11"/>
              <w:textAlignment w:val="auto"/>
              <w:rPr>
                <w:color w:val="auto"/>
                <w:vertAlign w:val="baseline"/>
              </w:rPr>
            </w:pPr>
          </w:p>
        </w:tc>
        <w:tc>
          <w:tcPr>
            <w:tcW w:w="919" w:type="dxa"/>
            <w:vAlign w:val="center"/>
          </w:tcPr>
          <w:p>
            <w:pPr>
              <w:keepNext w:val="0"/>
              <w:keepLines w:val="0"/>
              <w:pageBreakBefore w:val="0"/>
              <w:widowControl/>
              <w:kinsoku/>
              <w:wordWrap/>
              <w:overflowPunct/>
              <w:topLinePunct w:val="0"/>
              <w:autoSpaceDE/>
              <w:autoSpaceDN/>
              <w:bidi w:val="0"/>
              <w:adjustRightInd/>
              <w:snapToGrid/>
              <w:spacing w:after="0" w:line="272" w:lineRule="auto"/>
              <w:ind w:left="11" w:hanging="11"/>
              <w:textAlignment w:val="auto"/>
              <w:rPr>
                <w:color w:val="auto"/>
                <w:vertAlign w:val="baseline"/>
              </w:rPr>
            </w:pPr>
          </w:p>
        </w:tc>
        <w:tc>
          <w:tcPr>
            <w:tcW w:w="1033" w:type="dxa"/>
            <w:vAlign w:val="center"/>
          </w:tcPr>
          <w:p>
            <w:pPr>
              <w:keepNext w:val="0"/>
              <w:keepLines w:val="0"/>
              <w:pageBreakBefore w:val="0"/>
              <w:widowControl/>
              <w:kinsoku/>
              <w:wordWrap/>
              <w:overflowPunct/>
              <w:topLinePunct w:val="0"/>
              <w:autoSpaceDE/>
              <w:autoSpaceDN/>
              <w:bidi w:val="0"/>
              <w:adjustRightInd/>
              <w:snapToGrid/>
              <w:spacing w:after="0" w:line="272" w:lineRule="auto"/>
              <w:ind w:left="11" w:hanging="11"/>
              <w:textAlignment w:val="auto"/>
              <w:rPr>
                <w:color w:val="auto"/>
                <w:vertAlign w:val="baseline"/>
              </w:rPr>
            </w:pPr>
          </w:p>
        </w:tc>
        <w:tc>
          <w:tcPr>
            <w:tcW w:w="1033" w:type="dxa"/>
            <w:vAlign w:val="center"/>
          </w:tcPr>
          <w:p>
            <w:pPr>
              <w:keepNext w:val="0"/>
              <w:keepLines w:val="0"/>
              <w:pageBreakBefore w:val="0"/>
              <w:widowControl/>
              <w:kinsoku/>
              <w:wordWrap/>
              <w:overflowPunct/>
              <w:topLinePunct w:val="0"/>
              <w:autoSpaceDE/>
              <w:autoSpaceDN/>
              <w:bidi w:val="0"/>
              <w:adjustRightInd/>
              <w:snapToGrid/>
              <w:spacing w:after="0" w:line="272" w:lineRule="auto"/>
              <w:ind w:left="11" w:hanging="11"/>
              <w:textAlignment w:val="auto"/>
              <w:rPr>
                <w:color w:val="auto"/>
                <w:vertAlign w:val="baseline"/>
              </w:rPr>
            </w:pPr>
          </w:p>
        </w:tc>
        <w:tc>
          <w:tcPr>
            <w:tcW w:w="1033" w:type="dxa"/>
            <w:vAlign w:val="center"/>
          </w:tcPr>
          <w:p>
            <w:pPr>
              <w:keepNext w:val="0"/>
              <w:keepLines w:val="0"/>
              <w:pageBreakBefore w:val="0"/>
              <w:widowControl/>
              <w:kinsoku/>
              <w:wordWrap/>
              <w:overflowPunct/>
              <w:topLinePunct w:val="0"/>
              <w:autoSpaceDE/>
              <w:autoSpaceDN/>
              <w:bidi w:val="0"/>
              <w:adjustRightInd/>
              <w:snapToGrid/>
              <w:spacing w:after="0" w:line="272" w:lineRule="auto"/>
              <w:ind w:left="11" w:hanging="11"/>
              <w:textAlignment w:val="auto"/>
              <w:rPr>
                <w:color w:val="auto"/>
                <w:vertAlign w:val="baseline"/>
              </w:rPr>
            </w:pPr>
          </w:p>
        </w:tc>
        <w:tc>
          <w:tcPr>
            <w:tcW w:w="1034" w:type="dxa"/>
            <w:vAlign w:val="center"/>
          </w:tcPr>
          <w:p>
            <w:pPr>
              <w:keepNext w:val="0"/>
              <w:keepLines w:val="0"/>
              <w:pageBreakBefore w:val="0"/>
              <w:widowControl/>
              <w:kinsoku/>
              <w:wordWrap/>
              <w:overflowPunct/>
              <w:topLinePunct w:val="0"/>
              <w:autoSpaceDE/>
              <w:autoSpaceDN/>
              <w:bidi w:val="0"/>
              <w:adjustRightInd/>
              <w:snapToGrid/>
              <w:spacing w:after="0" w:line="272" w:lineRule="auto"/>
              <w:ind w:left="11" w:hanging="11"/>
              <w:textAlignment w:val="auto"/>
              <w:rPr>
                <w:color w:val="auto"/>
                <w:vertAlign w:val="baseline"/>
              </w:rPr>
            </w:pPr>
          </w:p>
        </w:tc>
        <w:tc>
          <w:tcPr>
            <w:tcW w:w="1034" w:type="dxa"/>
            <w:vAlign w:val="center"/>
          </w:tcPr>
          <w:p>
            <w:pPr>
              <w:keepNext w:val="0"/>
              <w:keepLines w:val="0"/>
              <w:pageBreakBefore w:val="0"/>
              <w:widowControl/>
              <w:kinsoku/>
              <w:wordWrap/>
              <w:overflowPunct/>
              <w:topLinePunct w:val="0"/>
              <w:autoSpaceDE/>
              <w:autoSpaceDN/>
              <w:bidi w:val="0"/>
              <w:adjustRightInd/>
              <w:snapToGrid/>
              <w:spacing w:after="0" w:line="272" w:lineRule="auto"/>
              <w:ind w:left="11" w:hanging="11"/>
              <w:textAlignment w:val="auto"/>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75" w:hRule="atLeast"/>
          <w:jc w:val="center"/>
        </w:trPr>
        <w:tc>
          <w:tcPr>
            <w:tcW w:w="2169" w:type="dxa"/>
            <w:vAlign w:val="center"/>
          </w:tcPr>
          <w:p>
            <w:pPr>
              <w:keepNext w:val="0"/>
              <w:keepLines w:val="0"/>
              <w:pageBreakBefore w:val="0"/>
              <w:widowControl/>
              <w:kinsoku/>
              <w:wordWrap/>
              <w:overflowPunct/>
              <w:topLinePunct w:val="0"/>
              <w:autoSpaceDE/>
              <w:autoSpaceDN/>
              <w:bidi w:val="0"/>
              <w:adjustRightInd/>
              <w:snapToGrid/>
              <w:spacing w:after="0" w:line="272" w:lineRule="auto"/>
              <w:ind w:left="11" w:hanging="11"/>
              <w:textAlignment w:val="auto"/>
              <w:rPr>
                <w:color w:val="auto"/>
                <w:vertAlign w:val="baseline"/>
              </w:rPr>
            </w:pPr>
          </w:p>
        </w:tc>
        <w:tc>
          <w:tcPr>
            <w:tcW w:w="919" w:type="dxa"/>
            <w:vAlign w:val="center"/>
          </w:tcPr>
          <w:p>
            <w:pPr>
              <w:keepNext w:val="0"/>
              <w:keepLines w:val="0"/>
              <w:pageBreakBefore w:val="0"/>
              <w:widowControl/>
              <w:kinsoku/>
              <w:wordWrap/>
              <w:overflowPunct/>
              <w:topLinePunct w:val="0"/>
              <w:autoSpaceDE/>
              <w:autoSpaceDN/>
              <w:bidi w:val="0"/>
              <w:adjustRightInd/>
              <w:snapToGrid/>
              <w:spacing w:after="0" w:line="272" w:lineRule="auto"/>
              <w:ind w:left="11" w:hanging="11"/>
              <w:textAlignment w:val="auto"/>
              <w:rPr>
                <w:color w:val="auto"/>
                <w:vertAlign w:val="baseline"/>
              </w:rPr>
            </w:pPr>
          </w:p>
        </w:tc>
        <w:tc>
          <w:tcPr>
            <w:tcW w:w="1033" w:type="dxa"/>
            <w:vAlign w:val="center"/>
          </w:tcPr>
          <w:p>
            <w:pPr>
              <w:keepNext w:val="0"/>
              <w:keepLines w:val="0"/>
              <w:pageBreakBefore w:val="0"/>
              <w:widowControl/>
              <w:kinsoku/>
              <w:wordWrap/>
              <w:overflowPunct/>
              <w:topLinePunct w:val="0"/>
              <w:autoSpaceDE/>
              <w:autoSpaceDN/>
              <w:bidi w:val="0"/>
              <w:adjustRightInd/>
              <w:snapToGrid/>
              <w:spacing w:after="0" w:line="272" w:lineRule="auto"/>
              <w:ind w:left="11" w:hanging="11"/>
              <w:textAlignment w:val="auto"/>
              <w:rPr>
                <w:color w:val="auto"/>
                <w:vertAlign w:val="baseline"/>
              </w:rPr>
            </w:pPr>
          </w:p>
        </w:tc>
        <w:tc>
          <w:tcPr>
            <w:tcW w:w="1033" w:type="dxa"/>
            <w:vAlign w:val="center"/>
          </w:tcPr>
          <w:p>
            <w:pPr>
              <w:keepNext w:val="0"/>
              <w:keepLines w:val="0"/>
              <w:pageBreakBefore w:val="0"/>
              <w:widowControl/>
              <w:kinsoku/>
              <w:wordWrap/>
              <w:overflowPunct/>
              <w:topLinePunct w:val="0"/>
              <w:autoSpaceDE/>
              <w:autoSpaceDN/>
              <w:bidi w:val="0"/>
              <w:adjustRightInd/>
              <w:snapToGrid/>
              <w:spacing w:after="0" w:line="272" w:lineRule="auto"/>
              <w:ind w:left="11" w:hanging="11"/>
              <w:textAlignment w:val="auto"/>
              <w:rPr>
                <w:color w:val="auto"/>
                <w:vertAlign w:val="baseline"/>
              </w:rPr>
            </w:pPr>
          </w:p>
        </w:tc>
        <w:tc>
          <w:tcPr>
            <w:tcW w:w="1033" w:type="dxa"/>
            <w:vAlign w:val="center"/>
          </w:tcPr>
          <w:p>
            <w:pPr>
              <w:keepNext w:val="0"/>
              <w:keepLines w:val="0"/>
              <w:pageBreakBefore w:val="0"/>
              <w:widowControl/>
              <w:kinsoku/>
              <w:wordWrap/>
              <w:overflowPunct/>
              <w:topLinePunct w:val="0"/>
              <w:autoSpaceDE/>
              <w:autoSpaceDN/>
              <w:bidi w:val="0"/>
              <w:adjustRightInd/>
              <w:snapToGrid/>
              <w:spacing w:after="0" w:line="272" w:lineRule="auto"/>
              <w:ind w:left="11" w:hanging="11"/>
              <w:textAlignment w:val="auto"/>
              <w:rPr>
                <w:color w:val="auto"/>
                <w:vertAlign w:val="baseline"/>
              </w:rPr>
            </w:pPr>
          </w:p>
        </w:tc>
        <w:tc>
          <w:tcPr>
            <w:tcW w:w="1034" w:type="dxa"/>
            <w:vAlign w:val="center"/>
          </w:tcPr>
          <w:p>
            <w:pPr>
              <w:keepNext w:val="0"/>
              <w:keepLines w:val="0"/>
              <w:pageBreakBefore w:val="0"/>
              <w:widowControl/>
              <w:kinsoku/>
              <w:wordWrap/>
              <w:overflowPunct/>
              <w:topLinePunct w:val="0"/>
              <w:autoSpaceDE/>
              <w:autoSpaceDN/>
              <w:bidi w:val="0"/>
              <w:adjustRightInd/>
              <w:snapToGrid/>
              <w:spacing w:after="0" w:line="272" w:lineRule="auto"/>
              <w:ind w:left="11" w:hanging="11"/>
              <w:textAlignment w:val="auto"/>
              <w:rPr>
                <w:color w:val="auto"/>
                <w:vertAlign w:val="baseline"/>
              </w:rPr>
            </w:pPr>
          </w:p>
        </w:tc>
        <w:tc>
          <w:tcPr>
            <w:tcW w:w="1034" w:type="dxa"/>
            <w:vAlign w:val="center"/>
          </w:tcPr>
          <w:p>
            <w:pPr>
              <w:keepNext w:val="0"/>
              <w:keepLines w:val="0"/>
              <w:pageBreakBefore w:val="0"/>
              <w:widowControl/>
              <w:kinsoku/>
              <w:wordWrap/>
              <w:overflowPunct/>
              <w:topLinePunct w:val="0"/>
              <w:autoSpaceDE/>
              <w:autoSpaceDN/>
              <w:bidi w:val="0"/>
              <w:adjustRightInd/>
              <w:snapToGrid/>
              <w:spacing w:after="0" w:line="272" w:lineRule="auto"/>
              <w:ind w:left="11" w:hanging="11"/>
              <w:textAlignment w:val="auto"/>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75" w:hRule="atLeast"/>
          <w:jc w:val="center"/>
        </w:trPr>
        <w:tc>
          <w:tcPr>
            <w:tcW w:w="2169" w:type="dxa"/>
            <w:vAlign w:val="center"/>
          </w:tcPr>
          <w:p>
            <w:pPr>
              <w:keepNext w:val="0"/>
              <w:keepLines w:val="0"/>
              <w:pageBreakBefore w:val="0"/>
              <w:widowControl/>
              <w:kinsoku/>
              <w:wordWrap/>
              <w:overflowPunct/>
              <w:topLinePunct w:val="0"/>
              <w:autoSpaceDE/>
              <w:autoSpaceDN/>
              <w:bidi w:val="0"/>
              <w:adjustRightInd/>
              <w:snapToGrid/>
              <w:spacing w:after="0" w:line="272" w:lineRule="auto"/>
              <w:ind w:left="11" w:hanging="11"/>
              <w:textAlignment w:val="auto"/>
              <w:rPr>
                <w:color w:val="auto"/>
                <w:vertAlign w:val="baseline"/>
              </w:rPr>
            </w:pPr>
          </w:p>
        </w:tc>
        <w:tc>
          <w:tcPr>
            <w:tcW w:w="919" w:type="dxa"/>
            <w:vAlign w:val="center"/>
          </w:tcPr>
          <w:p>
            <w:pPr>
              <w:keepNext w:val="0"/>
              <w:keepLines w:val="0"/>
              <w:pageBreakBefore w:val="0"/>
              <w:widowControl/>
              <w:kinsoku/>
              <w:wordWrap/>
              <w:overflowPunct/>
              <w:topLinePunct w:val="0"/>
              <w:autoSpaceDE/>
              <w:autoSpaceDN/>
              <w:bidi w:val="0"/>
              <w:adjustRightInd/>
              <w:snapToGrid/>
              <w:spacing w:after="0" w:line="272" w:lineRule="auto"/>
              <w:ind w:left="11" w:hanging="11"/>
              <w:textAlignment w:val="auto"/>
              <w:rPr>
                <w:color w:val="auto"/>
                <w:vertAlign w:val="baseline"/>
              </w:rPr>
            </w:pPr>
          </w:p>
        </w:tc>
        <w:tc>
          <w:tcPr>
            <w:tcW w:w="1033" w:type="dxa"/>
            <w:vAlign w:val="center"/>
          </w:tcPr>
          <w:p>
            <w:pPr>
              <w:keepNext w:val="0"/>
              <w:keepLines w:val="0"/>
              <w:pageBreakBefore w:val="0"/>
              <w:widowControl/>
              <w:kinsoku/>
              <w:wordWrap/>
              <w:overflowPunct/>
              <w:topLinePunct w:val="0"/>
              <w:autoSpaceDE/>
              <w:autoSpaceDN/>
              <w:bidi w:val="0"/>
              <w:adjustRightInd/>
              <w:snapToGrid/>
              <w:spacing w:after="0" w:line="272" w:lineRule="auto"/>
              <w:ind w:left="11" w:hanging="11"/>
              <w:textAlignment w:val="auto"/>
              <w:rPr>
                <w:color w:val="auto"/>
                <w:vertAlign w:val="baseline"/>
              </w:rPr>
            </w:pPr>
          </w:p>
        </w:tc>
        <w:tc>
          <w:tcPr>
            <w:tcW w:w="1033" w:type="dxa"/>
            <w:vAlign w:val="center"/>
          </w:tcPr>
          <w:p>
            <w:pPr>
              <w:keepNext w:val="0"/>
              <w:keepLines w:val="0"/>
              <w:pageBreakBefore w:val="0"/>
              <w:widowControl/>
              <w:kinsoku/>
              <w:wordWrap/>
              <w:overflowPunct/>
              <w:topLinePunct w:val="0"/>
              <w:autoSpaceDE/>
              <w:autoSpaceDN/>
              <w:bidi w:val="0"/>
              <w:adjustRightInd/>
              <w:snapToGrid/>
              <w:spacing w:after="0" w:line="272" w:lineRule="auto"/>
              <w:ind w:left="11" w:hanging="11"/>
              <w:textAlignment w:val="auto"/>
              <w:rPr>
                <w:color w:val="auto"/>
                <w:vertAlign w:val="baseline"/>
              </w:rPr>
            </w:pPr>
          </w:p>
        </w:tc>
        <w:tc>
          <w:tcPr>
            <w:tcW w:w="1033" w:type="dxa"/>
            <w:vAlign w:val="center"/>
          </w:tcPr>
          <w:p>
            <w:pPr>
              <w:keepNext w:val="0"/>
              <w:keepLines w:val="0"/>
              <w:pageBreakBefore w:val="0"/>
              <w:widowControl/>
              <w:kinsoku/>
              <w:wordWrap/>
              <w:overflowPunct/>
              <w:topLinePunct w:val="0"/>
              <w:autoSpaceDE/>
              <w:autoSpaceDN/>
              <w:bidi w:val="0"/>
              <w:adjustRightInd/>
              <w:snapToGrid/>
              <w:spacing w:after="0" w:line="272" w:lineRule="auto"/>
              <w:ind w:left="11" w:hanging="11"/>
              <w:textAlignment w:val="auto"/>
              <w:rPr>
                <w:color w:val="auto"/>
                <w:vertAlign w:val="baseline"/>
              </w:rPr>
            </w:pPr>
          </w:p>
        </w:tc>
        <w:tc>
          <w:tcPr>
            <w:tcW w:w="1034" w:type="dxa"/>
            <w:vAlign w:val="center"/>
          </w:tcPr>
          <w:p>
            <w:pPr>
              <w:keepNext w:val="0"/>
              <w:keepLines w:val="0"/>
              <w:pageBreakBefore w:val="0"/>
              <w:widowControl/>
              <w:kinsoku/>
              <w:wordWrap/>
              <w:overflowPunct/>
              <w:topLinePunct w:val="0"/>
              <w:autoSpaceDE/>
              <w:autoSpaceDN/>
              <w:bidi w:val="0"/>
              <w:adjustRightInd/>
              <w:snapToGrid/>
              <w:spacing w:after="0" w:line="272" w:lineRule="auto"/>
              <w:ind w:left="11" w:hanging="11"/>
              <w:textAlignment w:val="auto"/>
              <w:rPr>
                <w:color w:val="auto"/>
                <w:vertAlign w:val="baseline"/>
              </w:rPr>
            </w:pPr>
          </w:p>
        </w:tc>
        <w:tc>
          <w:tcPr>
            <w:tcW w:w="1034" w:type="dxa"/>
            <w:vAlign w:val="center"/>
          </w:tcPr>
          <w:p>
            <w:pPr>
              <w:keepNext w:val="0"/>
              <w:keepLines w:val="0"/>
              <w:pageBreakBefore w:val="0"/>
              <w:widowControl/>
              <w:kinsoku/>
              <w:wordWrap/>
              <w:overflowPunct/>
              <w:topLinePunct w:val="0"/>
              <w:autoSpaceDE/>
              <w:autoSpaceDN/>
              <w:bidi w:val="0"/>
              <w:adjustRightInd/>
              <w:snapToGrid/>
              <w:spacing w:after="0" w:line="272" w:lineRule="auto"/>
              <w:ind w:left="11" w:hanging="11"/>
              <w:textAlignment w:val="auto"/>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75" w:hRule="atLeast"/>
          <w:jc w:val="center"/>
        </w:trPr>
        <w:tc>
          <w:tcPr>
            <w:tcW w:w="2169" w:type="dxa"/>
            <w:vAlign w:val="center"/>
          </w:tcPr>
          <w:p>
            <w:pPr>
              <w:keepNext w:val="0"/>
              <w:keepLines w:val="0"/>
              <w:pageBreakBefore w:val="0"/>
              <w:widowControl/>
              <w:kinsoku/>
              <w:wordWrap/>
              <w:overflowPunct/>
              <w:topLinePunct w:val="0"/>
              <w:autoSpaceDE/>
              <w:autoSpaceDN/>
              <w:bidi w:val="0"/>
              <w:adjustRightInd/>
              <w:snapToGrid/>
              <w:spacing w:after="0" w:line="272" w:lineRule="auto"/>
              <w:ind w:left="11" w:hanging="11"/>
              <w:textAlignment w:val="auto"/>
              <w:rPr>
                <w:color w:val="auto"/>
                <w:vertAlign w:val="baseline"/>
              </w:rPr>
            </w:pPr>
          </w:p>
        </w:tc>
        <w:tc>
          <w:tcPr>
            <w:tcW w:w="919" w:type="dxa"/>
            <w:vAlign w:val="center"/>
          </w:tcPr>
          <w:p>
            <w:pPr>
              <w:keepNext w:val="0"/>
              <w:keepLines w:val="0"/>
              <w:pageBreakBefore w:val="0"/>
              <w:widowControl/>
              <w:kinsoku/>
              <w:wordWrap/>
              <w:overflowPunct/>
              <w:topLinePunct w:val="0"/>
              <w:autoSpaceDE/>
              <w:autoSpaceDN/>
              <w:bidi w:val="0"/>
              <w:adjustRightInd/>
              <w:snapToGrid/>
              <w:spacing w:after="0" w:line="272" w:lineRule="auto"/>
              <w:ind w:left="11" w:hanging="11"/>
              <w:textAlignment w:val="auto"/>
              <w:rPr>
                <w:color w:val="auto"/>
                <w:vertAlign w:val="baseline"/>
              </w:rPr>
            </w:pPr>
          </w:p>
        </w:tc>
        <w:tc>
          <w:tcPr>
            <w:tcW w:w="1033" w:type="dxa"/>
            <w:vAlign w:val="center"/>
          </w:tcPr>
          <w:p>
            <w:pPr>
              <w:keepNext w:val="0"/>
              <w:keepLines w:val="0"/>
              <w:pageBreakBefore w:val="0"/>
              <w:widowControl/>
              <w:kinsoku/>
              <w:wordWrap/>
              <w:overflowPunct/>
              <w:topLinePunct w:val="0"/>
              <w:autoSpaceDE/>
              <w:autoSpaceDN/>
              <w:bidi w:val="0"/>
              <w:adjustRightInd/>
              <w:snapToGrid/>
              <w:spacing w:after="0" w:line="272" w:lineRule="auto"/>
              <w:ind w:left="11" w:hanging="11"/>
              <w:textAlignment w:val="auto"/>
              <w:rPr>
                <w:color w:val="auto"/>
                <w:vertAlign w:val="baseline"/>
              </w:rPr>
            </w:pPr>
          </w:p>
        </w:tc>
        <w:tc>
          <w:tcPr>
            <w:tcW w:w="1033" w:type="dxa"/>
            <w:vAlign w:val="center"/>
          </w:tcPr>
          <w:p>
            <w:pPr>
              <w:keepNext w:val="0"/>
              <w:keepLines w:val="0"/>
              <w:pageBreakBefore w:val="0"/>
              <w:widowControl/>
              <w:kinsoku/>
              <w:wordWrap/>
              <w:overflowPunct/>
              <w:topLinePunct w:val="0"/>
              <w:autoSpaceDE/>
              <w:autoSpaceDN/>
              <w:bidi w:val="0"/>
              <w:adjustRightInd/>
              <w:snapToGrid/>
              <w:spacing w:after="0" w:line="272" w:lineRule="auto"/>
              <w:ind w:left="11" w:hanging="11"/>
              <w:textAlignment w:val="auto"/>
              <w:rPr>
                <w:color w:val="auto"/>
                <w:vertAlign w:val="baseline"/>
              </w:rPr>
            </w:pPr>
          </w:p>
        </w:tc>
        <w:tc>
          <w:tcPr>
            <w:tcW w:w="1033" w:type="dxa"/>
            <w:vAlign w:val="center"/>
          </w:tcPr>
          <w:p>
            <w:pPr>
              <w:keepNext w:val="0"/>
              <w:keepLines w:val="0"/>
              <w:pageBreakBefore w:val="0"/>
              <w:widowControl/>
              <w:kinsoku/>
              <w:wordWrap/>
              <w:overflowPunct/>
              <w:topLinePunct w:val="0"/>
              <w:autoSpaceDE/>
              <w:autoSpaceDN/>
              <w:bidi w:val="0"/>
              <w:adjustRightInd/>
              <w:snapToGrid/>
              <w:spacing w:after="0" w:line="272" w:lineRule="auto"/>
              <w:ind w:left="11" w:hanging="11"/>
              <w:textAlignment w:val="auto"/>
              <w:rPr>
                <w:color w:val="auto"/>
                <w:vertAlign w:val="baseline"/>
              </w:rPr>
            </w:pPr>
          </w:p>
        </w:tc>
        <w:tc>
          <w:tcPr>
            <w:tcW w:w="1034" w:type="dxa"/>
            <w:vAlign w:val="center"/>
          </w:tcPr>
          <w:p>
            <w:pPr>
              <w:keepNext w:val="0"/>
              <w:keepLines w:val="0"/>
              <w:pageBreakBefore w:val="0"/>
              <w:widowControl/>
              <w:kinsoku/>
              <w:wordWrap/>
              <w:overflowPunct/>
              <w:topLinePunct w:val="0"/>
              <w:autoSpaceDE/>
              <w:autoSpaceDN/>
              <w:bidi w:val="0"/>
              <w:adjustRightInd/>
              <w:snapToGrid/>
              <w:spacing w:after="0" w:line="272" w:lineRule="auto"/>
              <w:ind w:left="11" w:hanging="11"/>
              <w:textAlignment w:val="auto"/>
              <w:rPr>
                <w:color w:val="auto"/>
                <w:vertAlign w:val="baseline"/>
              </w:rPr>
            </w:pPr>
          </w:p>
        </w:tc>
        <w:tc>
          <w:tcPr>
            <w:tcW w:w="1034" w:type="dxa"/>
            <w:vAlign w:val="center"/>
          </w:tcPr>
          <w:p>
            <w:pPr>
              <w:keepNext w:val="0"/>
              <w:keepLines w:val="0"/>
              <w:pageBreakBefore w:val="0"/>
              <w:widowControl/>
              <w:kinsoku/>
              <w:wordWrap/>
              <w:overflowPunct/>
              <w:topLinePunct w:val="0"/>
              <w:autoSpaceDE/>
              <w:autoSpaceDN/>
              <w:bidi w:val="0"/>
              <w:adjustRightInd/>
              <w:snapToGrid/>
              <w:spacing w:after="0" w:line="272" w:lineRule="auto"/>
              <w:ind w:left="11" w:hanging="11"/>
              <w:textAlignment w:val="auto"/>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75" w:hRule="atLeast"/>
          <w:jc w:val="center"/>
        </w:trPr>
        <w:tc>
          <w:tcPr>
            <w:tcW w:w="2169" w:type="dxa"/>
            <w:vAlign w:val="center"/>
          </w:tcPr>
          <w:p>
            <w:pPr>
              <w:keepNext w:val="0"/>
              <w:keepLines w:val="0"/>
              <w:pageBreakBefore w:val="0"/>
              <w:widowControl/>
              <w:kinsoku/>
              <w:wordWrap/>
              <w:overflowPunct/>
              <w:topLinePunct w:val="0"/>
              <w:autoSpaceDE/>
              <w:autoSpaceDN/>
              <w:bidi w:val="0"/>
              <w:adjustRightInd/>
              <w:snapToGrid/>
              <w:spacing w:after="0" w:line="272" w:lineRule="auto"/>
              <w:ind w:left="11" w:hanging="11"/>
              <w:textAlignment w:val="auto"/>
              <w:rPr>
                <w:color w:val="auto"/>
                <w:vertAlign w:val="baseline"/>
              </w:rPr>
            </w:pPr>
          </w:p>
        </w:tc>
        <w:tc>
          <w:tcPr>
            <w:tcW w:w="919" w:type="dxa"/>
            <w:vAlign w:val="center"/>
          </w:tcPr>
          <w:p>
            <w:pPr>
              <w:keepNext w:val="0"/>
              <w:keepLines w:val="0"/>
              <w:pageBreakBefore w:val="0"/>
              <w:widowControl/>
              <w:kinsoku/>
              <w:wordWrap/>
              <w:overflowPunct/>
              <w:topLinePunct w:val="0"/>
              <w:autoSpaceDE/>
              <w:autoSpaceDN/>
              <w:bidi w:val="0"/>
              <w:adjustRightInd/>
              <w:snapToGrid/>
              <w:spacing w:after="0" w:line="272" w:lineRule="auto"/>
              <w:ind w:left="11" w:hanging="11"/>
              <w:textAlignment w:val="auto"/>
              <w:rPr>
                <w:color w:val="auto"/>
                <w:vertAlign w:val="baseline"/>
              </w:rPr>
            </w:pPr>
          </w:p>
        </w:tc>
        <w:tc>
          <w:tcPr>
            <w:tcW w:w="1033" w:type="dxa"/>
            <w:vAlign w:val="center"/>
          </w:tcPr>
          <w:p>
            <w:pPr>
              <w:keepNext w:val="0"/>
              <w:keepLines w:val="0"/>
              <w:pageBreakBefore w:val="0"/>
              <w:widowControl/>
              <w:kinsoku/>
              <w:wordWrap/>
              <w:overflowPunct/>
              <w:topLinePunct w:val="0"/>
              <w:autoSpaceDE/>
              <w:autoSpaceDN/>
              <w:bidi w:val="0"/>
              <w:adjustRightInd/>
              <w:snapToGrid/>
              <w:spacing w:after="0" w:line="272" w:lineRule="auto"/>
              <w:ind w:left="11" w:hanging="11"/>
              <w:textAlignment w:val="auto"/>
              <w:rPr>
                <w:color w:val="auto"/>
                <w:vertAlign w:val="baseline"/>
              </w:rPr>
            </w:pPr>
          </w:p>
        </w:tc>
        <w:tc>
          <w:tcPr>
            <w:tcW w:w="1033" w:type="dxa"/>
            <w:vAlign w:val="center"/>
          </w:tcPr>
          <w:p>
            <w:pPr>
              <w:keepNext w:val="0"/>
              <w:keepLines w:val="0"/>
              <w:pageBreakBefore w:val="0"/>
              <w:widowControl/>
              <w:kinsoku/>
              <w:wordWrap/>
              <w:overflowPunct/>
              <w:topLinePunct w:val="0"/>
              <w:autoSpaceDE/>
              <w:autoSpaceDN/>
              <w:bidi w:val="0"/>
              <w:adjustRightInd/>
              <w:snapToGrid/>
              <w:spacing w:after="0" w:line="272" w:lineRule="auto"/>
              <w:ind w:left="11" w:hanging="11"/>
              <w:textAlignment w:val="auto"/>
              <w:rPr>
                <w:color w:val="auto"/>
                <w:vertAlign w:val="baseline"/>
              </w:rPr>
            </w:pPr>
          </w:p>
        </w:tc>
        <w:tc>
          <w:tcPr>
            <w:tcW w:w="1033" w:type="dxa"/>
            <w:vAlign w:val="center"/>
          </w:tcPr>
          <w:p>
            <w:pPr>
              <w:keepNext w:val="0"/>
              <w:keepLines w:val="0"/>
              <w:pageBreakBefore w:val="0"/>
              <w:widowControl/>
              <w:kinsoku/>
              <w:wordWrap/>
              <w:overflowPunct/>
              <w:topLinePunct w:val="0"/>
              <w:autoSpaceDE/>
              <w:autoSpaceDN/>
              <w:bidi w:val="0"/>
              <w:adjustRightInd/>
              <w:snapToGrid/>
              <w:spacing w:after="0" w:line="272" w:lineRule="auto"/>
              <w:ind w:left="11" w:hanging="11"/>
              <w:textAlignment w:val="auto"/>
              <w:rPr>
                <w:color w:val="auto"/>
                <w:vertAlign w:val="baseline"/>
              </w:rPr>
            </w:pPr>
          </w:p>
        </w:tc>
        <w:tc>
          <w:tcPr>
            <w:tcW w:w="1034" w:type="dxa"/>
            <w:vAlign w:val="center"/>
          </w:tcPr>
          <w:p>
            <w:pPr>
              <w:keepNext w:val="0"/>
              <w:keepLines w:val="0"/>
              <w:pageBreakBefore w:val="0"/>
              <w:widowControl/>
              <w:kinsoku/>
              <w:wordWrap/>
              <w:overflowPunct/>
              <w:topLinePunct w:val="0"/>
              <w:autoSpaceDE/>
              <w:autoSpaceDN/>
              <w:bidi w:val="0"/>
              <w:adjustRightInd/>
              <w:snapToGrid/>
              <w:spacing w:after="0" w:line="272" w:lineRule="auto"/>
              <w:ind w:left="11" w:hanging="11"/>
              <w:textAlignment w:val="auto"/>
              <w:rPr>
                <w:color w:val="auto"/>
                <w:vertAlign w:val="baseline"/>
              </w:rPr>
            </w:pPr>
          </w:p>
        </w:tc>
        <w:tc>
          <w:tcPr>
            <w:tcW w:w="1034" w:type="dxa"/>
            <w:vAlign w:val="center"/>
          </w:tcPr>
          <w:p>
            <w:pPr>
              <w:keepNext w:val="0"/>
              <w:keepLines w:val="0"/>
              <w:pageBreakBefore w:val="0"/>
              <w:widowControl/>
              <w:kinsoku/>
              <w:wordWrap/>
              <w:overflowPunct/>
              <w:topLinePunct w:val="0"/>
              <w:autoSpaceDE/>
              <w:autoSpaceDN/>
              <w:bidi w:val="0"/>
              <w:adjustRightInd/>
              <w:snapToGrid/>
              <w:spacing w:after="0" w:line="272" w:lineRule="auto"/>
              <w:ind w:left="11" w:hanging="11"/>
              <w:textAlignment w:val="auto"/>
              <w:rPr>
                <w:color w:val="auto"/>
                <w:vertAlign w:val="baseline"/>
              </w:rPr>
            </w:pPr>
          </w:p>
        </w:tc>
      </w:tr>
    </w:tbl>
    <w:p>
      <w:pPr>
        <w:spacing w:after="787"/>
        <w:ind w:left="-6"/>
        <w:rPr>
          <w:color w:val="auto"/>
        </w:rPr>
      </w:pPr>
    </w:p>
    <w:p>
      <w:pPr>
        <w:spacing w:after="787"/>
        <w:ind w:left="-6"/>
        <w:rPr>
          <w:color w:val="auto"/>
        </w:rPr>
      </w:pPr>
      <w:r>
        <w:rPr>
          <w:color w:val="auto"/>
        </w:rPr>
        <w:t>备注：综合</w:t>
      </w:r>
      <w:r>
        <w:rPr>
          <w:rFonts w:hint="eastAsia"/>
          <w:color w:val="auto"/>
          <w:lang w:eastAsia="zh-CN"/>
        </w:rPr>
        <w:t>平均</w:t>
      </w:r>
      <w:r>
        <w:rPr>
          <w:color w:val="auto"/>
        </w:rPr>
        <w:t>分计算保留2位小数（</w:t>
      </w:r>
      <w:r>
        <w:rPr>
          <w:rFonts w:hint="eastAsia"/>
          <w:color w:val="auto"/>
          <w:lang w:eastAsia="zh-CN"/>
        </w:rPr>
        <w:t>四舍五入</w:t>
      </w:r>
      <w:r>
        <w:rPr>
          <w:color w:val="auto"/>
        </w:rPr>
        <w:t>）。</w:t>
      </w:r>
    </w:p>
    <w:p>
      <w:pPr>
        <w:ind w:left="-6"/>
        <w:rPr>
          <w:color w:val="auto"/>
        </w:rPr>
      </w:pPr>
      <w:r>
        <w:rPr>
          <w:color w:val="auto"/>
        </w:rPr>
        <w:t>评标委员会全体成员签字/日期：</w:t>
      </w:r>
    </w:p>
    <w:p>
      <w:pPr>
        <w:ind w:left="-6"/>
        <w:rPr>
          <w:color w:val="auto"/>
        </w:rPr>
      </w:pPr>
    </w:p>
    <w:p>
      <w:pPr>
        <w:ind w:left="-6"/>
        <w:rPr>
          <w:color w:val="auto"/>
        </w:rPr>
      </w:pPr>
    </w:p>
    <w:p>
      <w:pPr>
        <w:ind w:left="-6"/>
        <w:rPr>
          <w:color w:val="auto"/>
        </w:rPr>
      </w:pPr>
    </w:p>
    <w:p>
      <w:pPr>
        <w:ind w:left="-6"/>
        <w:rPr>
          <w:color w:val="auto"/>
        </w:rPr>
      </w:pPr>
    </w:p>
    <w:p>
      <w:pPr>
        <w:spacing w:after="643" w:line="265" w:lineRule="auto"/>
        <w:ind w:left="0" w:leftChars="0" w:firstLine="0" w:firstLineChars="0"/>
        <w:rPr>
          <w:rFonts w:ascii="黑体" w:hAnsi="黑体" w:eastAsia="黑体" w:cs="黑体"/>
          <w:color w:val="auto"/>
          <w:sz w:val="32"/>
        </w:rPr>
      </w:pPr>
    </w:p>
    <w:p>
      <w:pPr>
        <w:spacing w:after="643" w:line="265" w:lineRule="auto"/>
        <w:ind w:left="0" w:leftChars="0" w:firstLine="0" w:firstLineChars="0"/>
        <w:rPr>
          <w:rFonts w:ascii="黑体" w:hAnsi="黑体" w:eastAsia="黑体" w:cs="黑体"/>
          <w:color w:val="auto"/>
          <w:sz w:val="32"/>
        </w:rPr>
      </w:pPr>
    </w:p>
    <w:p>
      <w:pPr>
        <w:spacing w:after="643" w:line="265" w:lineRule="auto"/>
        <w:ind w:left="0" w:leftChars="0" w:firstLine="0" w:firstLineChars="0"/>
        <w:rPr>
          <w:rFonts w:ascii="黑体" w:hAnsi="黑体" w:eastAsia="黑体" w:cs="黑体"/>
          <w:color w:val="auto"/>
          <w:sz w:val="32"/>
        </w:rPr>
      </w:pPr>
    </w:p>
    <w:p>
      <w:pPr>
        <w:spacing w:after="643" w:line="265" w:lineRule="auto"/>
        <w:ind w:left="0" w:leftChars="0" w:firstLine="0" w:firstLineChars="0"/>
        <w:rPr>
          <w:color w:val="auto"/>
        </w:rPr>
      </w:pPr>
      <w:r>
        <w:rPr>
          <w:rFonts w:ascii="黑体" w:hAnsi="黑体" w:eastAsia="黑体" w:cs="黑体"/>
          <w:color w:val="auto"/>
          <w:sz w:val="32"/>
        </w:rPr>
        <w:t>附表</w:t>
      </w:r>
      <w:r>
        <w:rPr>
          <w:rFonts w:hint="eastAsia" w:ascii="黑体" w:hAnsi="黑体" w:eastAsia="黑体" w:cs="黑体"/>
          <w:color w:val="auto"/>
          <w:sz w:val="32"/>
          <w:lang w:val="en-US" w:eastAsia="zh-CN"/>
        </w:rPr>
        <w:t>2</w:t>
      </w:r>
      <w:r>
        <w:rPr>
          <w:rFonts w:ascii="黑体" w:hAnsi="黑体" w:eastAsia="黑体" w:cs="黑体"/>
          <w:color w:val="auto"/>
          <w:sz w:val="32"/>
        </w:rPr>
        <w:t>：中标候选人表</w:t>
      </w:r>
    </w:p>
    <w:p>
      <w:pPr>
        <w:pStyle w:val="8"/>
        <w:spacing w:after="553"/>
        <w:ind w:left="641" w:right="842"/>
        <w:jc w:val="center"/>
        <w:rPr>
          <w:color w:val="auto"/>
        </w:rPr>
      </w:pPr>
      <w:r>
        <w:rPr>
          <w:color w:val="auto"/>
        </w:rPr>
        <w:t>中标候选人表</w:t>
      </w:r>
    </w:p>
    <w:p>
      <w:pPr>
        <w:spacing w:after="0" w:line="269" w:lineRule="auto"/>
        <w:ind w:left="1035" w:leftChars="-8" w:hanging="1052" w:hangingChars="501"/>
        <w:rPr>
          <w:rFonts w:hint="eastAsia" w:eastAsia="宋体"/>
          <w:color w:val="auto"/>
          <w:lang w:eastAsia="zh-CN"/>
        </w:rPr>
      </w:pPr>
      <w:r>
        <w:rPr>
          <w:color w:val="auto"/>
        </w:rPr>
        <w:t>项目名称：</w:t>
      </w:r>
      <w:bookmarkStart w:id="47" w:name="PO_projectName_14"/>
      <w:r>
        <w:rPr>
          <w:rFonts w:hint="eastAsia"/>
          <w:color w:val="auto"/>
          <w:lang w:eastAsia="zh-CN"/>
        </w:rPr>
        <w:t>立达股份应收账款项目</w:t>
      </w:r>
      <w:bookmarkEnd w:id="47"/>
    </w:p>
    <w:p>
      <w:pPr>
        <w:rPr>
          <w:color w:val="auto"/>
        </w:rPr>
      </w:pPr>
    </w:p>
    <w:tbl>
      <w:tblPr>
        <w:tblStyle w:val="28"/>
        <w:tblW w:w="5820" w:type="dxa"/>
        <w:jc w:val="center"/>
        <w:tblLayout w:type="fixed"/>
        <w:tblCellMar>
          <w:top w:w="0" w:type="dxa"/>
          <w:left w:w="265" w:type="dxa"/>
          <w:bottom w:w="0" w:type="dxa"/>
          <w:right w:w="115" w:type="dxa"/>
        </w:tblCellMar>
      </w:tblPr>
      <w:tblGrid>
        <w:gridCol w:w="1160"/>
        <w:gridCol w:w="4660"/>
      </w:tblGrid>
      <w:tr>
        <w:tblPrEx>
          <w:tblCellMar>
            <w:top w:w="0" w:type="dxa"/>
            <w:left w:w="265" w:type="dxa"/>
            <w:bottom w:w="0" w:type="dxa"/>
            <w:right w:w="115" w:type="dxa"/>
          </w:tblCellMar>
        </w:tblPrEx>
        <w:trPr>
          <w:trHeight w:val="464" w:hRule="atLeast"/>
          <w:jc w:val="center"/>
        </w:trPr>
        <w:tc>
          <w:tcPr>
            <w:tcW w:w="116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rPr>
                <w:color w:val="auto"/>
              </w:rPr>
            </w:pPr>
            <w:r>
              <w:rPr>
                <w:color w:val="auto"/>
              </w:rPr>
              <w:t>排 序</w:t>
            </w:r>
          </w:p>
        </w:tc>
        <w:tc>
          <w:tcPr>
            <w:tcW w:w="466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48" w:firstLine="0"/>
              <w:jc w:val="center"/>
              <w:rPr>
                <w:color w:val="auto"/>
              </w:rPr>
            </w:pPr>
            <w:r>
              <w:rPr>
                <w:color w:val="auto"/>
              </w:rPr>
              <w:t>中标候选人</w:t>
            </w:r>
          </w:p>
        </w:tc>
      </w:tr>
      <w:tr>
        <w:tblPrEx>
          <w:tblCellMar>
            <w:top w:w="0" w:type="dxa"/>
            <w:left w:w="265" w:type="dxa"/>
            <w:bottom w:w="0" w:type="dxa"/>
            <w:right w:w="115" w:type="dxa"/>
          </w:tblCellMar>
        </w:tblPrEx>
        <w:trPr>
          <w:trHeight w:val="464" w:hRule="atLeast"/>
          <w:jc w:val="center"/>
        </w:trPr>
        <w:tc>
          <w:tcPr>
            <w:tcW w:w="116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rPr>
                <w:color w:val="auto"/>
              </w:rPr>
            </w:pPr>
            <w:r>
              <w:rPr>
                <w:color w:val="auto"/>
              </w:rPr>
              <w:t>第一名</w:t>
            </w:r>
          </w:p>
        </w:tc>
        <w:tc>
          <w:tcPr>
            <w:tcW w:w="466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rPr>
                <w:color w:val="auto"/>
              </w:rPr>
            </w:pPr>
          </w:p>
        </w:tc>
      </w:tr>
      <w:tr>
        <w:tblPrEx>
          <w:tblCellMar>
            <w:top w:w="0" w:type="dxa"/>
            <w:left w:w="265" w:type="dxa"/>
            <w:bottom w:w="0" w:type="dxa"/>
            <w:right w:w="115" w:type="dxa"/>
          </w:tblCellMar>
        </w:tblPrEx>
        <w:trPr>
          <w:trHeight w:val="464" w:hRule="atLeast"/>
          <w:jc w:val="center"/>
        </w:trPr>
        <w:tc>
          <w:tcPr>
            <w:tcW w:w="116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rPr>
                <w:color w:val="auto"/>
              </w:rPr>
            </w:pPr>
            <w:r>
              <w:rPr>
                <w:color w:val="auto"/>
              </w:rPr>
              <w:t>第二名</w:t>
            </w:r>
          </w:p>
        </w:tc>
        <w:tc>
          <w:tcPr>
            <w:tcW w:w="466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rPr>
                <w:color w:val="auto"/>
              </w:rPr>
            </w:pPr>
          </w:p>
        </w:tc>
      </w:tr>
      <w:tr>
        <w:tblPrEx>
          <w:tblCellMar>
            <w:top w:w="0" w:type="dxa"/>
            <w:left w:w="265" w:type="dxa"/>
            <w:bottom w:w="0" w:type="dxa"/>
            <w:right w:w="115" w:type="dxa"/>
          </w:tblCellMar>
        </w:tblPrEx>
        <w:trPr>
          <w:trHeight w:val="464" w:hRule="atLeast"/>
          <w:jc w:val="center"/>
        </w:trPr>
        <w:tc>
          <w:tcPr>
            <w:tcW w:w="116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rPr>
                <w:color w:val="auto"/>
              </w:rPr>
            </w:pPr>
            <w:r>
              <w:rPr>
                <w:color w:val="auto"/>
              </w:rPr>
              <w:t>第三名</w:t>
            </w:r>
          </w:p>
        </w:tc>
        <w:tc>
          <w:tcPr>
            <w:tcW w:w="466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rPr>
                <w:color w:val="auto"/>
              </w:rPr>
            </w:pPr>
          </w:p>
        </w:tc>
      </w:tr>
      <w:tr>
        <w:tblPrEx>
          <w:tblCellMar>
            <w:top w:w="0" w:type="dxa"/>
            <w:left w:w="265" w:type="dxa"/>
            <w:bottom w:w="0" w:type="dxa"/>
            <w:right w:w="115" w:type="dxa"/>
          </w:tblCellMar>
        </w:tblPrEx>
        <w:trPr>
          <w:trHeight w:val="464" w:hRule="atLeast"/>
          <w:jc w:val="center"/>
        </w:trPr>
        <w:tc>
          <w:tcPr>
            <w:tcW w:w="116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06" w:firstLine="0"/>
              <w:rPr>
                <w:color w:val="auto"/>
              </w:rPr>
            </w:pPr>
            <w:r>
              <w:rPr>
                <w:color w:val="auto"/>
              </w:rPr>
              <w:t>……</w:t>
            </w:r>
          </w:p>
        </w:tc>
        <w:tc>
          <w:tcPr>
            <w:tcW w:w="466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53" w:firstLine="0"/>
              <w:jc w:val="center"/>
              <w:rPr>
                <w:color w:val="auto"/>
              </w:rPr>
            </w:pPr>
            <w:r>
              <w:rPr>
                <w:color w:val="auto"/>
              </w:rPr>
              <w:t>……</w:t>
            </w:r>
          </w:p>
        </w:tc>
      </w:tr>
    </w:tbl>
    <w:p>
      <w:pPr>
        <w:spacing w:after="513"/>
        <w:ind w:left="-6"/>
        <w:rPr>
          <w:color w:val="auto"/>
        </w:rPr>
      </w:pPr>
      <w:r>
        <w:rPr>
          <w:color w:val="auto"/>
        </w:rPr>
        <w:t>签订合同前要处理的事宜：</w:t>
      </w:r>
    </w:p>
    <w:p>
      <w:pPr>
        <w:spacing w:after="945"/>
        <w:ind w:left="-6"/>
        <w:rPr>
          <w:color w:val="auto"/>
        </w:rPr>
      </w:pPr>
      <w:r>
        <w:rPr>
          <w:color w:val="auto"/>
        </w:rPr>
        <w:t>评标委员会全体成员签字：</w:t>
      </w:r>
    </w:p>
    <w:p>
      <w:pPr>
        <w:spacing w:after="945"/>
        <w:ind w:left="-6"/>
        <w:rPr>
          <w:color w:val="auto"/>
        </w:rPr>
      </w:pPr>
      <w:r>
        <w:rPr>
          <w:rFonts w:ascii="Calibri" w:hAnsi="Calibri" w:eastAsia="Calibri" w:cs="Calibri"/>
          <w:color w:val="auto"/>
          <w:sz w:val="22"/>
        </w:rPr>
        <mc:AlternateContent>
          <mc:Choice Requires="wpg">
            <w:drawing>
              <wp:anchor distT="0" distB="0" distL="114300" distR="114300" simplePos="0" relativeHeight="251659264" behindDoc="0" locked="0" layoutInCell="1" allowOverlap="1">
                <wp:simplePos x="0" y="0"/>
                <wp:positionH relativeFrom="column">
                  <wp:posOffset>3113405</wp:posOffset>
                </wp:positionH>
                <wp:positionV relativeFrom="paragraph">
                  <wp:posOffset>130810</wp:posOffset>
                </wp:positionV>
                <wp:extent cx="1932305" cy="6350"/>
                <wp:effectExtent l="0" t="0" r="0" b="0"/>
                <wp:wrapNone/>
                <wp:docPr id="115915" name="Group 115915"/>
                <wp:cNvGraphicFramePr/>
                <a:graphic xmlns:a="http://schemas.openxmlformats.org/drawingml/2006/main">
                  <a:graphicData uri="http://schemas.microsoft.com/office/word/2010/wordprocessingGroup">
                    <wpg:wgp>
                      <wpg:cNvGrpSpPr/>
                      <wpg:grpSpPr>
                        <a:xfrm>
                          <a:off x="0" y="0"/>
                          <a:ext cx="1932305" cy="6096"/>
                          <a:chOff x="0" y="0"/>
                          <a:chExt cx="1932305" cy="6096"/>
                        </a:xfrm>
                      </wpg:grpSpPr>
                      <wps:wsp>
                        <wps:cNvPr id="8756" name="Shape 8756"/>
                        <wps:cNvSpPr/>
                        <wps:spPr>
                          <a:xfrm>
                            <a:off x="0" y="0"/>
                            <a:ext cx="598805" cy="0"/>
                          </a:xfrm>
                          <a:custGeom>
                            <a:avLst/>
                            <a:gdLst/>
                            <a:ahLst/>
                            <a:cxnLst/>
                            <a:rect l="0" t="0" r="0" b="0"/>
                            <a:pathLst>
                              <a:path w="598805">
                                <a:moveTo>
                                  <a:pt x="0" y="0"/>
                                </a:moveTo>
                                <a:lnTo>
                                  <a:pt x="598805"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8758" name="Shape 8758"/>
                        <wps:cNvSpPr/>
                        <wps:spPr>
                          <a:xfrm>
                            <a:off x="732790" y="0"/>
                            <a:ext cx="533400" cy="0"/>
                          </a:xfrm>
                          <a:custGeom>
                            <a:avLst/>
                            <a:gdLst/>
                            <a:ahLst/>
                            <a:cxnLst/>
                            <a:rect l="0" t="0" r="0" b="0"/>
                            <a:pathLst>
                              <a:path w="533400">
                                <a:moveTo>
                                  <a:pt x="0" y="0"/>
                                </a:moveTo>
                                <a:lnTo>
                                  <a:pt x="533400"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8760" name="Shape 8760"/>
                        <wps:cNvSpPr/>
                        <wps:spPr>
                          <a:xfrm>
                            <a:off x="1398905" y="0"/>
                            <a:ext cx="533400" cy="0"/>
                          </a:xfrm>
                          <a:custGeom>
                            <a:avLst/>
                            <a:gdLst/>
                            <a:ahLst/>
                            <a:cxnLst/>
                            <a:rect l="0" t="0" r="0" b="0"/>
                            <a:pathLst>
                              <a:path w="533400">
                                <a:moveTo>
                                  <a:pt x="0" y="0"/>
                                </a:moveTo>
                                <a:lnTo>
                                  <a:pt x="533400" y="0"/>
                                </a:lnTo>
                              </a:path>
                            </a:pathLst>
                          </a:custGeom>
                          <a:ln w="6096"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15915" o:spid="_x0000_s1026" o:spt="203" style="position:absolute;left:0pt;margin-left:245.15pt;margin-top:10.3pt;height:0.5pt;width:152.15pt;z-index:251659264;mso-width-relative:page;mso-height-relative:page;" coordsize="1932305,6096" o:gfxdata="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AMPIfP2QAAAAkBAAAPAAAAAAAAAAEA&#10;IAAAACIAAABkcnMvZG93bnJldi54bWxQSwECFAAUAAAACACHTuJANrx6lbkCAACICgAADgAAAAAA&#10;AAABACAAAAAoAQAAZHJzL2Uyb0RvYy54bWxQSwUGAAAAAAYABgBZAQAAUwYAAAAA&#10;">
                <o:lock v:ext="edit" aspectratio="f"/>
                <v:shape id="Shape 8756" o:spid="_x0000_s1026" o:spt="100" style="position:absolute;left:0;top:0;height:0;width:598805;" filled="f" stroked="t" coordsize="598805,1" o:gfxdata="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VGiw&#10;GsEAAADdAAAADwAAAAAAAAABACAAAAAiAAAAZHJzL2Rvd25yZXYueG1sUEsBAhQAFAAAAAgAh07i&#10;QDMvBZ47AAAAOQAAABAAAAAAAAAAAQAgAAAAEAEAAGRycy9zaGFwZXhtbC54bWxQSwUGAAAAAAYA&#10;BgBbAQAAugMAAAAA&#10;" path="m0,0l598805,0e">
                  <v:fill on="f" focussize="0,0"/>
                  <v:stroke weight="0.48pt" color="#000000" miterlimit="8" joinstyle="bevel"/>
                  <v:imagedata o:title=""/>
                  <o:lock v:ext="edit" aspectratio="f"/>
                </v:shape>
                <v:shape id="Shape 8758" o:spid="_x0000_s1026" o:spt="100" style="position:absolute;left:732790;top:0;height:0;width:533400;" filled="f" stroked="t" coordsize="533400,1" o:gfxdata="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v7d/L4A&#10;AADdAAAADwAAAAAAAAABACAAAAAiAAAAZHJzL2Rvd25yZXYueG1sUEsBAhQAFAAAAAgAh07iQDMv&#10;BZ47AAAAOQAAABAAAAAAAAAAAQAgAAAADQEAAGRycy9zaGFwZXhtbC54bWxQSwUGAAAAAAYABgBb&#10;AQAAtwMAAAAA&#10;" path="m0,0l533400,0e">
                  <v:fill on="f" focussize="0,0"/>
                  <v:stroke weight="0.48pt" color="#000000" miterlimit="8" joinstyle="bevel"/>
                  <v:imagedata o:title=""/>
                  <o:lock v:ext="edit" aspectratio="f"/>
                </v:shape>
                <v:shape id="Shape 8760" o:spid="_x0000_s1026" o:spt="100" style="position:absolute;left:1398905;top:0;height:0;width:533400;" filled="f" stroked="t" coordsize="533400,1" o:gfxdata="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uQbR74A&#10;AADdAAAADwAAAAAAAAABACAAAAAiAAAAZHJzL2Rvd25yZXYueG1sUEsBAhQAFAAAAAgAh07iQDMv&#10;BZ47AAAAOQAAABAAAAAAAAAAAQAgAAAADQEAAGRycy9zaGFwZXhtbC54bWxQSwUGAAAAAAYABgBb&#10;AQAAtwMAAAAA&#10;" path="m0,0l533400,0e">
                  <v:fill on="f" focussize="0,0"/>
                  <v:stroke weight="0.48pt" color="#000000" miterlimit="8" joinstyle="bevel"/>
                  <v:imagedata o:title=""/>
                  <o:lock v:ext="edit" aspectratio="f"/>
                </v:shape>
              </v:group>
            </w:pict>
          </mc:Fallback>
        </mc:AlternateContent>
      </w:r>
      <w:r>
        <w:rPr>
          <w:rFonts w:ascii="Calibri" w:hAnsi="Calibri" w:eastAsia="Calibri" w:cs="Calibri"/>
          <w:color w:val="auto"/>
          <w:sz w:val="22"/>
        </w:rPr>
        <w:tab/>
      </w:r>
      <w:r>
        <w:rPr>
          <w:color w:val="auto"/>
        </w:rPr>
        <w:t>日期：</w:t>
      </w:r>
      <w:r>
        <w:rPr>
          <w:color w:val="auto"/>
        </w:rPr>
        <w:tab/>
      </w:r>
      <w:r>
        <w:rPr>
          <w:color w:val="auto"/>
        </w:rPr>
        <w:t>年</w:t>
      </w:r>
      <w:r>
        <w:rPr>
          <w:color w:val="auto"/>
        </w:rPr>
        <w:tab/>
      </w:r>
      <w:r>
        <w:rPr>
          <w:color w:val="auto"/>
        </w:rPr>
        <w:t>月</w:t>
      </w:r>
      <w:r>
        <w:rPr>
          <w:color w:val="auto"/>
        </w:rPr>
        <w:tab/>
      </w:r>
      <w:r>
        <w:rPr>
          <w:color w:val="auto"/>
        </w:rPr>
        <w:t>日</w:t>
      </w:r>
    </w:p>
    <w:p>
      <w:pPr>
        <w:pStyle w:val="12"/>
        <w:rPr>
          <w:color w:val="auto"/>
        </w:rPr>
      </w:pPr>
    </w:p>
    <w:p>
      <w:pPr>
        <w:pStyle w:val="12"/>
        <w:rPr>
          <w:color w:val="auto"/>
        </w:rPr>
      </w:pPr>
    </w:p>
    <w:p>
      <w:pPr>
        <w:pStyle w:val="12"/>
        <w:rPr>
          <w:color w:val="auto"/>
        </w:rPr>
      </w:pPr>
    </w:p>
    <w:p>
      <w:pPr>
        <w:spacing w:after="176"/>
        <w:ind w:left="429"/>
        <w:jc w:val="right"/>
        <w:rPr>
          <w:color w:val="auto"/>
        </w:rPr>
      </w:pPr>
    </w:p>
    <w:p>
      <w:pPr>
        <w:spacing w:after="176"/>
        <w:ind w:left="429"/>
        <w:jc w:val="right"/>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3"/>
        <w:spacing w:after="3" w:line="259" w:lineRule="auto"/>
        <w:ind w:left="3742" w:right="0"/>
        <w:rPr>
          <w:rFonts w:ascii="华文中宋" w:hAnsi="华文中宋" w:eastAsia="华文中宋" w:cs="华文中宋"/>
          <w:color w:val="auto"/>
          <w:sz w:val="44"/>
        </w:rPr>
      </w:pPr>
      <w:bookmarkStart w:id="48" w:name="_Toc31762"/>
      <w:r>
        <w:rPr>
          <w:color w:val="auto"/>
        </w:rPr>
        <w:br w:type="page"/>
      </w:r>
      <w:bookmarkEnd w:id="48"/>
    </w:p>
    <w:p>
      <w:pPr>
        <w:pStyle w:val="3"/>
        <w:keepNext/>
        <w:keepLines/>
        <w:pageBreakBefore w:val="0"/>
        <w:widowControl/>
        <w:kinsoku/>
        <w:wordWrap/>
        <w:overflowPunct/>
        <w:topLinePunct w:val="0"/>
        <w:autoSpaceDE/>
        <w:autoSpaceDN/>
        <w:bidi w:val="0"/>
        <w:adjustRightInd/>
        <w:snapToGrid/>
        <w:spacing w:after="0" w:line="260" w:lineRule="auto"/>
        <w:ind w:right="0"/>
        <w:jc w:val="center"/>
        <w:textAlignment w:val="auto"/>
        <w:rPr>
          <w:rFonts w:hint="eastAsia" w:ascii="华文中宋" w:hAnsi="华文中宋" w:eastAsia="华文中宋" w:cs="华文中宋"/>
          <w:color w:val="auto"/>
          <w:sz w:val="44"/>
          <w:lang w:eastAsia="zh-CN"/>
        </w:rPr>
      </w:pPr>
      <w:r>
        <w:rPr>
          <w:rFonts w:hint="eastAsia" w:ascii="华文中宋" w:hAnsi="华文中宋" w:eastAsia="华文中宋" w:cs="华文中宋"/>
          <w:color w:val="auto"/>
          <w:sz w:val="44"/>
          <w:lang w:eastAsia="zh-CN"/>
        </w:rPr>
        <w:t>第四章</w:t>
      </w:r>
    </w:p>
    <w:p>
      <w:pPr>
        <w:rPr>
          <w:rFonts w:hint="eastAsia"/>
          <w:lang w:eastAsia="zh-CN"/>
        </w:rPr>
      </w:pPr>
    </w:p>
    <w:p>
      <w:pPr>
        <w:pStyle w:val="3"/>
        <w:keepNext/>
        <w:keepLines/>
        <w:pageBreakBefore w:val="0"/>
        <w:widowControl/>
        <w:kinsoku/>
        <w:wordWrap/>
        <w:overflowPunct/>
        <w:topLinePunct w:val="0"/>
        <w:autoSpaceDE/>
        <w:autoSpaceDN/>
        <w:bidi w:val="0"/>
        <w:adjustRightInd/>
        <w:snapToGrid/>
        <w:spacing w:after="0" w:line="260" w:lineRule="auto"/>
        <w:ind w:right="0"/>
        <w:jc w:val="center"/>
        <w:textAlignment w:val="auto"/>
        <w:rPr>
          <w:color w:val="auto"/>
        </w:rPr>
      </w:pPr>
      <w:r>
        <w:rPr>
          <w:rFonts w:ascii="黑体" w:hAnsi="黑体" w:eastAsia="黑体" w:cs="黑体"/>
          <w:color w:val="auto"/>
          <w:sz w:val="28"/>
        </w:rPr>
        <w:t>（项目名称）</w:t>
      </w:r>
      <w:r>
        <w:rPr>
          <w:rFonts w:ascii="Times New Roman" w:hAnsi="Times New Roman" w:eastAsia="Times New Roman" w:cs="Times New Roman"/>
          <w:color w:val="auto"/>
          <w:sz w:val="28"/>
        </w:rPr>
        <w:t>_________</w:t>
      </w:r>
      <w:r>
        <w:rPr>
          <w:rFonts w:ascii="黑体" w:hAnsi="黑体" w:eastAsia="黑体" w:cs="黑体"/>
          <w:color w:val="auto"/>
          <w:sz w:val="28"/>
        </w:rPr>
        <w:t xml:space="preserve"> </w:t>
      </w:r>
      <w:r>
        <w:rPr>
          <w:rFonts w:hint="eastAsia" w:ascii="黑体" w:hAnsi="黑体" w:eastAsia="黑体" w:cs="黑体"/>
          <w:color w:val="auto"/>
          <w:sz w:val="28"/>
          <w:lang w:eastAsia="zh-CN"/>
        </w:rPr>
        <w:t>招议标</w:t>
      </w:r>
      <w:r>
        <w:rPr>
          <w:rFonts w:ascii="黑体" w:hAnsi="黑体" w:eastAsia="黑体" w:cs="黑体"/>
          <w:color w:val="auto"/>
          <w:sz w:val="28"/>
        </w:rPr>
        <w:t>项目</w:t>
      </w:r>
    </w:p>
    <w:p>
      <w:pPr>
        <w:keepNext w:val="0"/>
        <w:keepLines w:val="0"/>
        <w:pageBreakBefore w:val="0"/>
        <w:widowControl/>
        <w:kinsoku/>
        <w:wordWrap/>
        <w:overflowPunct/>
        <w:topLinePunct w:val="0"/>
        <w:autoSpaceDE/>
        <w:autoSpaceDN/>
        <w:bidi w:val="0"/>
        <w:adjustRightInd/>
        <w:snapToGrid/>
        <w:spacing w:after="0" w:line="264" w:lineRule="auto"/>
        <w:ind w:left="57" w:right="249" w:hanging="11"/>
        <w:jc w:val="center"/>
        <w:textAlignment w:val="auto"/>
        <w:rPr>
          <w:rFonts w:ascii="黑体" w:hAnsi="黑体" w:eastAsia="黑体" w:cs="黑体"/>
          <w:color w:val="auto"/>
          <w:sz w:val="44"/>
        </w:rPr>
      </w:pPr>
    </w:p>
    <w:p>
      <w:pPr>
        <w:keepNext w:val="0"/>
        <w:keepLines w:val="0"/>
        <w:pageBreakBefore w:val="0"/>
        <w:widowControl/>
        <w:kinsoku/>
        <w:wordWrap/>
        <w:overflowPunct/>
        <w:topLinePunct w:val="0"/>
        <w:autoSpaceDE/>
        <w:autoSpaceDN/>
        <w:bidi w:val="0"/>
        <w:adjustRightInd/>
        <w:snapToGrid/>
        <w:spacing w:after="0" w:line="264" w:lineRule="auto"/>
        <w:ind w:left="57" w:right="249" w:hanging="11"/>
        <w:jc w:val="center"/>
        <w:textAlignment w:val="auto"/>
        <w:rPr>
          <w:rFonts w:ascii="黑体" w:hAnsi="黑体" w:eastAsia="黑体" w:cs="黑体"/>
          <w:color w:val="auto"/>
          <w:sz w:val="44"/>
        </w:rPr>
      </w:pPr>
    </w:p>
    <w:p>
      <w:pPr>
        <w:keepNext w:val="0"/>
        <w:keepLines w:val="0"/>
        <w:pageBreakBefore w:val="0"/>
        <w:widowControl/>
        <w:kinsoku/>
        <w:wordWrap/>
        <w:overflowPunct/>
        <w:topLinePunct w:val="0"/>
        <w:autoSpaceDE/>
        <w:autoSpaceDN/>
        <w:bidi w:val="0"/>
        <w:adjustRightInd/>
        <w:snapToGrid/>
        <w:spacing w:after="0" w:line="264" w:lineRule="auto"/>
        <w:ind w:left="57" w:right="249" w:hanging="11"/>
        <w:jc w:val="center"/>
        <w:textAlignment w:val="auto"/>
        <w:rPr>
          <w:rFonts w:ascii="黑体" w:hAnsi="黑体" w:eastAsia="黑体" w:cs="黑体"/>
          <w:color w:val="auto"/>
          <w:sz w:val="44"/>
        </w:rPr>
      </w:pPr>
    </w:p>
    <w:p>
      <w:pPr>
        <w:keepNext w:val="0"/>
        <w:keepLines w:val="0"/>
        <w:pageBreakBefore w:val="0"/>
        <w:widowControl/>
        <w:kinsoku/>
        <w:wordWrap/>
        <w:overflowPunct/>
        <w:topLinePunct w:val="0"/>
        <w:autoSpaceDE/>
        <w:autoSpaceDN/>
        <w:bidi w:val="0"/>
        <w:adjustRightInd/>
        <w:snapToGrid/>
        <w:spacing w:after="0" w:line="264" w:lineRule="auto"/>
        <w:ind w:left="57" w:right="249" w:hanging="11"/>
        <w:jc w:val="center"/>
        <w:textAlignment w:val="auto"/>
        <w:rPr>
          <w:rFonts w:ascii="黑体" w:hAnsi="黑体" w:eastAsia="黑体" w:cs="黑体"/>
          <w:color w:val="auto"/>
          <w:sz w:val="44"/>
        </w:rPr>
      </w:pPr>
    </w:p>
    <w:p>
      <w:pPr>
        <w:keepNext w:val="0"/>
        <w:keepLines w:val="0"/>
        <w:pageBreakBefore w:val="0"/>
        <w:widowControl/>
        <w:kinsoku/>
        <w:wordWrap/>
        <w:overflowPunct/>
        <w:topLinePunct w:val="0"/>
        <w:autoSpaceDE/>
        <w:autoSpaceDN/>
        <w:bidi w:val="0"/>
        <w:adjustRightInd/>
        <w:snapToGrid/>
        <w:spacing w:after="0" w:line="264" w:lineRule="auto"/>
        <w:ind w:left="57" w:right="249" w:hanging="11"/>
        <w:jc w:val="center"/>
        <w:textAlignment w:val="auto"/>
        <w:rPr>
          <w:rFonts w:ascii="黑体" w:hAnsi="黑体" w:eastAsia="黑体" w:cs="黑体"/>
          <w:color w:val="auto"/>
          <w:sz w:val="44"/>
        </w:rPr>
      </w:pPr>
      <w:r>
        <w:rPr>
          <w:rFonts w:ascii="黑体" w:hAnsi="黑体" w:eastAsia="黑体" w:cs="黑体"/>
          <w:color w:val="auto"/>
          <w:sz w:val="44"/>
        </w:rPr>
        <w:t>投标文件</w:t>
      </w:r>
    </w:p>
    <w:p>
      <w:pPr>
        <w:pStyle w:val="2"/>
        <w:rPr>
          <w:rFonts w:ascii="黑体" w:hAnsi="黑体" w:eastAsia="黑体" w:cs="黑体"/>
          <w:color w:val="auto"/>
          <w:sz w:val="44"/>
        </w:rPr>
      </w:pPr>
    </w:p>
    <w:p>
      <w:pPr>
        <w:pStyle w:val="2"/>
        <w:rPr>
          <w:rFonts w:ascii="黑体" w:hAnsi="黑体" w:eastAsia="黑体" w:cs="黑体"/>
          <w:color w:val="auto"/>
          <w:sz w:val="44"/>
        </w:rPr>
      </w:pPr>
    </w:p>
    <w:p>
      <w:pPr>
        <w:pStyle w:val="2"/>
        <w:rPr>
          <w:rFonts w:ascii="黑体" w:hAnsi="黑体" w:eastAsia="黑体" w:cs="黑体"/>
          <w:color w:val="auto"/>
          <w:sz w:val="44"/>
        </w:rPr>
      </w:pPr>
    </w:p>
    <w:p>
      <w:pPr>
        <w:pStyle w:val="2"/>
        <w:rPr>
          <w:rFonts w:ascii="黑体" w:hAnsi="黑体" w:eastAsia="黑体" w:cs="黑体"/>
          <w:color w:val="auto"/>
          <w:sz w:val="44"/>
        </w:rPr>
      </w:pPr>
    </w:p>
    <w:p>
      <w:pPr>
        <w:pStyle w:val="2"/>
        <w:rPr>
          <w:rFonts w:ascii="黑体" w:hAnsi="黑体" w:eastAsia="黑体" w:cs="黑体"/>
          <w:color w:val="auto"/>
          <w:sz w:val="44"/>
        </w:rPr>
      </w:pPr>
    </w:p>
    <w:p>
      <w:pPr>
        <w:pStyle w:val="2"/>
        <w:rPr>
          <w:rFonts w:ascii="黑体" w:hAnsi="黑体" w:eastAsia="黑体" w:cs="黑体"/>
          <w:color w:val="auto"/>
          <w:sz w:val="44"/>
        </w:rPr>
      </w:pPr>
    </w:p>
    <w:p>
      <w:pPr>
        <w:pStyle w:val="2"/>
        <w:rPr>
          <w:rFonts w:ascii="黑体" w:hAnsi="黑体" w:eastAsia="黑体" w:cs="黑体"/>
          <w:color w:val="auto"/>
          <w:sz w:val="44"/>
        </w:rPr>
      </w:pPr>
    </w:p>
    <w:p>
      <w:pPr>
        <w:spacing w:after="473" w:line="347" w:lineRule="auto"/>
        <w:ind w:left="641" w:right="631" w:hanging="10"/>
        <w:jc w:val="center"/>
        <w:rPr>
          <w:color w:val="auto"/>
        </w:rPr>
      </w:pPr>
      <w:r>
        <w:rPr>
          <w:rFonts w:ascii="黑体" w:hAnsi="黑体" w:eastAsia="黑体" w:cs="黑体"/>
          <w:color w:val="auto"/>
          <w:sz w:val="28"/>
        </w:rPr>
        <w:t>投标人：</w:t>
      </w:r>
      <w:r>
        <w:rPr>
          <w:rFonts w:ascii="黑体" w:hAnsi="黑体" w:eastAsia="黑体" w:cs="黑体"/>
          <w:color w:val="auto"/>
          <w:sz w:val="28"/>
        </w:rPr>
        <w:tab/>
      </w:r>
      <w:r>
        <w:rPr>
          <w:rFonts w:ascii="黑体" w:hAnsi="黑体" w:eastAsia="黑体" w:cs="黑体"/>
          <w:color w:val="auto"/>
          <w:sz w:val="28"/>
        </w:rPr>
        <w:t>（盖单位章）法定代表人（单位负责人）或其委托代理人：（签字）</w:t>
      </w:r>
    </w:p>
    <w:p>
      <w:pPr>
        <w:tabs>
          <w:tab w:val="center" w:pos="3693"/>
          <w:tab w:val="center" w:pos="4813"/>
          <w:tab w:val="center" w:pos="5934"/>
        </w:tabs>
        <w:spacing w:after="650" w:line="265" w:lineRule="auto"/>
        <w:ind w:left="0" w:firstLine="0"/>
        <w:rPr>
          <w:color w:val="auto"/>
        </w:rPr>
      </w:pPr>
      <w:r>
        <w:rPr>
          <w:rFonts w:ascii="Calibri" w:hAnsi="Calibri" w:eastAsia="Calibri" w:cs="Calibri"/>
          <w:color w:val="auto"/>
          <w:sz w:val="22"/>
        </w:rPr>
        <mc:AlternateContent>
          <mc:Choice Requires="wpg">
            <w:drawing>
              <wp:anchor distT="0" distB="0" distL="114300" distR="114300" simplePos="0" relativeHeight="251660288" behindDoc="0" locked="0" layoutInCell="1" allowOverlap="1">
                <wp:simplePos x="0" y="0"/>
                <wp:positionH relativeFrom="column">
                  <wp:posOffset>1721485</wp:posOffset>
                </wp:positionH>
                <wp:positionV relativeFrom="paragraph">
                  <wp:posOffset>167640</wp:posOffset>
                </wp:positionV>
                <wp:extent cx="1957070" cy="6350"/>
                <wp:effectExtent l="0" t="0" r="0" b="0"/>
                <wp:wrapNone/>
                <wp:docPr id="119296" name="Group 119296"/>
                <wp:cNvGraphicFramePr/>
                <a:graphic xmlns:a="http://schemas.openxmlformats.org/drawingml/2006/main">
                  <a:graphicData uri="http://schemas.microsoft.com/office/word/2010/wordprocessingGroup">
                    <wpg:wgp>
                      <wpg:cNvGrpSpPr/>
                      <wpg:grpSpPr>
                        <a:xfrm>
                          <a:off x="0" y="0"/>
                          <a:ext cx="1957070" cy="6096"/>
                          <a:chOff x="0" y="0"/>
                          <a:chExt cx="1957070" cy="6096"/>
                        </a:xfrm>
                      </wpg:grpSpPr>
                      <wps:wsp>
                        <wps:cNvPr id="11193" name="Shape 11193"/>
                        <wps:cNvSpPr/>
                        <wps:spPr>
                          <a:xfrm>
                            <a:off x="0" y="0"/>
                            <a:ext cx="533400" cy="0"/>
                          </a:xfrm>
                          <a:custGeom>
                            <a:avLst/>
                            <a:gdLst/>
                            <a:ahLst/>
                            <a:cxnLst/>
                            <a:rect l="0" t="0" r="0" b="0"/>
                            <a:pathLst>
                              <a:path w="533400">
                                <a:moveTo>
                                  <a:pt x="0" y="0"/>
                                </a:moveTo>
                                <a:lnTo>
                                  <a:pt x="533400"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1195" name="Shape 11195"/>
                        <wps:cNvSpPr/>
                        <wps:spPr>
                          <a:xfrm>
                            <a:off x="711835" y="0"/>
                            <a:ext cx="533400" cy="0"/>
                          </a:xfrm>
                          <a:custGeom>
                            <a:avLst/>
                            <a:gdLst/>
                            <a:ahLst/>
                            <a:cxnLst/>
                            <a:rect l="0" t="0" r="0" b="0"/>
                            <a:pathLst>
                              <a:path w="533400">
                                <a:moveTo>
                                  <a:pt x="0" y="0"/>
                                </a:moveTo>
                                <a:lnTo>
                                  <a:pt x="533400"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1197" name="Shape 11197"/>
                        <wps:cNvSpPr/>
                        <wps:spPr>
                          <a:xfrm>
                            <a:off x="1423670" y="0"/>
                            <a:ext cx="533400" cy="0"/>
                          </a:xfrm>
                          <a:custGeom>
                            <a:avLst/>
                            <a:gdLst/>
                            <a:ahLst/>
                            <a:cxnLst/>
                            <a:rect l="0" t="0" r="0" b="0"/>
                            <a:pathLst>
                              <a:path w="533400">
                                <a:moveTo>
                                  <a:pt x="0" y="0"/>
                                </a:moveTo>
                                <a:lnTo>
                                  <a:pt x="533400" y="0"/>
                                </a:lnTo>
                              </a:path>
                            </a:pathLst>
                          </a:custGeom>
                          <a:ln w="6096"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19296" o:spid="_x0000_s1026" o:spt="203" style="position:absolute;left:0pt;margin-left:135.55pt;margin-top:13.2pt;height:0.5pt;width:154.1pt;z-index:251660288;mso-width-relative:page;mso-height-relative:page;" coordsize="1957070,6096" o:gfxdata="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Ive9fDYAAAACQEAAA8AAAAAAAAAAQAgAAAAIgAAAGRycy9kb3ducmV2LnhtbFBLAQIUABQA&#10;AAAIAIdO4kDSW3lrmwIAAI4KAAAOAAAAAAAAAAEAIAAAACcBAABkcnMvZTJvRG9jLnhtbFBLBQYA&#10;AAAABgAGAFkBAAA0BgAAAAA=&#10;">
                <o:lock v:ext="edit" aspectratio="f"/>
                <v:shape id="Shape 11193" o:spid="_x0000_s1026" o:spt="100" style="position:absolute;left:0;top:0;height:0;width:533400;" filled="f" stroked="t" coordsize="533400,1" o:gfxdata="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8mN674A&#10;AADeAAAADwAAAAAAAAABACAAAAAiAAAAZHJzL2Rvd25yZXYueG1sUEsBAhQAFAAAAAgAh07iQDMv&#10;BZ47AAAAOQAAABAAAAAAAAAAAQAgAAAADQEAAGRycy9zaGFwZXhtbC54bWxQSwUGAAAAAAYABgBb&#10;AQAAtwMAAAAA&#10;" path="m0,0l533400,0e">
                  <v:fill on="f" focussize="0,0"/>
                  <v:stroke weight="0.48pt" color="#000000" miterlimit="8" joinstyle="bevel"/>
                  <v:imagedata o:title=""/>
                  <o:lock v:ext="edit" aspectratio="f"/>
                </v:shape>
                <v:shape id="Shape 11195" o:spid="_x0000_s1026" o:spt="100" style="position:absolute;left:711835;top:0;height:0;width:533400;" filled="f" stroked="t" coordsize="533400,1" o:gfxdata="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9ssAS/&#10;AAAA3gAAAA8AAAAAAAAAAQAgAAAAIgAAAGRycy9kb3ducmV2LnhtbFBLAQIUABQAAAAIAIdO4kAz&#10;LwWeOwAAADkAAAAQAAAAAAAAAAEAIAAAAA4BAABkcnMvc2hhcGV4bWwueG1sUEsFBgAAAAAGAAYA&#10;WwEAALgDAAAAAA==&#10;" path="m0,0l533400,0e">
                  <v:fill on="f" focussize="0,0"/>
                  <v:stroke weight="0.48pt" color="#000000" miterlimit="8" joinstyle="bevel"/>
                  <v:imagedata o:title=""/>
                  <o:lock v:ext="edit" aspectratio="f"/>
                </v:shape>
                <v:shape id="Shape 11197" o:spid="_x0000_s1026" o:spt="100" style="position:absolute;left:1423670;top:0;height:0;width:533400;" filled="f" stroked="t" coordsize="533400,1" o:gfxdata="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Dyi+i/&#10;AAAA3gAAAA8AAAAAAAAAAQAgAAAAIgAAAGRycy9kb3ducmV2LnhtbFBLAQIUABQAAAAIAIdO4kAz&#10;LwWeOwAAADkAAAAQAAAAAAAAAAEAIAAAAA4BAABkcnMvc2hhcGV4bWwueG1sUEsFBgAAAAAGAAYA&#10;WwEAALgDAAAAAA==&#10;" path="m0,0l533400,0e">
                  <v:fill on="f" focussize="0,0"/>
                  <v:stroke weight="0.48pt" color="#000000" miterlimit="8" joinstyle="bevel"/>
                  <v:imagedata o:title=""/>
                  <o:lock v:ext="edit" aspectratio="f"/>
                </v:shape>
              </v:group>
            </w:pict>
          </mc:Fallback>
        </mc:AlternateContent>
      </w:r>
      <w:r>
        <w:rPr>
          <w:rFonts w:ascii="Calibri" w:hAnsi="Calibri" w:eastAsia="Calibri" w:cs="Calibri"/>
          <w:color w:val="auto"/>
          <w:sz w:val="22"/>
        </w:rPr>
        <w:tab/>
      </w:r>
      <w:r>
        <w:rPr>
          <w:rFonts w:ascii="黑体" w:hAnsi="黑体" w:eastAsia="黑体" w:cs="黑体"/>
          <w:color w:val="auto"/>
          <w:sz w:val="28"/>
        </w:rPr>
        <w:t>年</w:t>
      </w:r>
      <w:r>
        <w:rPr>
          <w:rFonts w:ascii="黑体" w:hAnsi="黑体" w:eastAsia="黑体" w:cs="黑体"/>
          <w:color w:val="auto"/>
          <w:sz w:val="28"/>
        </w:rPr>
        <w:tab/>
      </w:r>
      <w:r>
        <w:rPr>
          <w:rFonts w:ascii="黑体" w:hAnsi="黑体" w:eastAsia="黑体" w:cs="黑体"/>
          <w:color w:val="auto"/>
          <w:sz w:val="28"/>
        </w:rPr>
        <w:t>月</w:t>
      </w:r>
      <w:r>
        <w:rPr>
          <w:rFonts w:ascii="黑体" w:hAnsi="黑体" w:eastAsia="黑体" w:cs="黑体"/>
          <w:color w:val="auto"/>
          <w:sz w:val="28"/>
        </w:rPr>
        <w:tab/>
      </w:r>
      <w:r>
        <w:rPr>
          <w:rFonts w:ascii="黑体" w:hAnsi="黑体" w:eastAsia="黑体" w:cs="黑体"/>
          <w:color w:val="auto"/>
          <w:sz w:val="28"/>
        </w:rPr>
        <w:t>日</w:t>
      </w:r>
    </w:p>
    <w:p>
      <w:pPr>
        <w:pStyle w:val="4"/>
        <w:spacing w:after="496"/>
        <w:ind w:left="1359" w:right="1561"/>
        <w:jc w:val="center"/>
        <w:rPr>
          <w:rFonts w:hint="eastAsia" w:eastAsia="黑体"/>
          <w:color w:val="auto"/>
          <w:lang w:eastAsia="zh-CN"/>
        </w:rPr>
      </w:pPr>
      <w:bookmarkStart w:id="49" w:name="_Toc29021"/>
      <w:r>
        <w:rPr>
          <w:rFonts w:hint="eastAsia"/>
          <w:color w:val="auto"/>
          <w:lang w:eastAsia="zh-CN"/>
        </w:rPr>
        <w:t>招标文件</w:t>
      </w:r>
      <w:bookmarkEnd w:id="49"/>
      <w:r>
        <w:rPr>
          <w:rFonts w:hint="eastAsia"/>
          <w:color w:val="auto"/>
          <w:lang w:eastAsia="zh-CN"/>
        </w:rPr>
        <w:t>项目及要求</w:t>
      </w:r>
    </w:p>
    <w:p>
      <w:pPr>
        <w:numPr>
          <w:numId w:val="0"/>
        </w:numPr>
        <w:spacing w:line="406" w:lineRule="auto"/>
        <w:ind w:left="420" w:leftChars="0" w:right="206" w:rightChars="0"/>
        <w:rPr>
          <w:color w:val="auto"/>
        </w:rPr>
      </w:pPr>
    </w:p>
    <w:p>
      <w:pPr>
        <w:numPr>
          <w:ilvl w:val="0"/>
          <w:numId w:val="15"/>
        </w:numPr>
        <w:spacing w:line="406" w:lineRule="auto"/>
        <w:ind w:left="429" w:leftChars="0" w:right="206" w:rightChars="0" w:hanging="9" w:firstLineChars="0"/>
        <w:rPr>
          <w:color w:val="auto"/>
        </w:rPr>
      </w:pPr>
      <w:r>
        <w:rPr>
          <w:rFonts w:hint="eastAsia"/>
          <w:color w:val="auto"/>
          <w:lang w:eastAsia="zh-CN"/>
        </w:rPr>
        <w:t>律师事务所执业许可证</w:t>
      </w:r>
    </w:p>
    <w:p>
      <w:pPr>
        <w:numPr>
          <w:ilvl w:val="0"/>
          <w:numId w:val="15"/>
        </w:numPr>
        <w:spacing w:line="406" w:lineRule="auto"/>
        <w:ind w:left="429" w:leftChars="0" w:right="206" w:rightChars="0" w:hanging="9" w:firstLineChars="0"/>
        <w:rPr>
          <w:color w:val="auto"/>
        </w:rPr>
      </w:pPr>
      <w:r>
        <w:rPr>
          <w:color w:val="auto"/>
        </w:rPr>
        <w:t>授权委托书（适用于有委托代理人的情况）</w:t>
      </w:r>
      <w:r>
        <w:rPr>
          <w:rFonts w:hint="eastAsia"/>
          <w:color w:val="auto"/>
          <w:lang w:eastAsia="zh-CN"/>
        </w:rPr>
        <w:t>（如下格式）</w:t>
      </w:r>
    </w:p>
    <w:p>
      <w:pPr>
        <w:numPr>
          <w:ilvl w:val="0"/>
          <w:numId w:val="15"/>
        </w:numPr>
        <w:spacing w:line="406" w:lineRule="auto"/>
        <w:ind w:left="429" w:leftChars="0" w:right="206" w:rightChars="0" w:hanging="9" w:firstLineChars="0"/>
        <w:rPr>
          <w:color w:val="auto"/>
        </w:rPr>
      </w:pPr>
      <w:r>
        <w:rPr>
          <w:color w:val="auto"/>
        </w:rPr>
        <w:t>联合体协议书</w:t>
      </w:r>
      <w:r>
        <w:rPr>
          <w:rFonts w:hint="eastAsia"/>
          <w:color w:val="auto"/>
          <w:lang w:eastAsia="zh-CN"/>
        </w:rPr>
        <w:t>（如下格式）、联合体营业执照等</w:t>
      </w:r>
    </w:p>
    <w:p>
      <w:pPr>
        <w:numPr>
          <w:ilvl w:val="0"/>
          <w:numId w:val="15"/>
        </w:numPr>
        <w:spacing w:line="406" w:lineRule="auto"/>
        <w:ind w:left="429" w:leftChars="0" w:right="206" w:rightChars="0" w:hanging="9" w:firstLineChars="0"/>
        <w:rPr>
          <w:color w:val="auto"/>
        </w:rPr>
      </w:pPr>
      <w:r>
        <w:rPr>
          <w:rFonts w:hint="eastAsia"/>
          <w:color w:val="auto"/>
          <w:lang w:eastAsia="zh-CN"/>
        </w:rPr>
        <w:t>律师事务所简介（无规定格式）、所获荣誉（如有）</w:t>
      </w:r>
    </w:p>
    <w:p>
      <w:pPr>
        <w:numPr>
          <w:ilvl w:val="0"/>
          <w:numId w:val="15"/>
        </w:numPr>
        <w:spacing w:line="406" w:lineRule="auto"/>
        <w:ind w:left="429" w:leftChars="0" w:right="206" w:rightChars="0" w:hanging="9" w:firstLineChars="0"/>
        <w:rPr>
          <w:color w:val="auto"/>
        </w:rPr>
      </w:pPr>
      <w:r>
        <w:rPr>
          <w:rFonts w:hint="eastAsia"/>
          <w:color w:val="auto"/>
          <w:lang w:eastAsia="zh-CN"/>
        </w:rPr>
        <w:t>报价方案（无规定格式）</w:t>
      </w:r>
    </w:p>
    <w:p>
      <w:pPr>
        <w:pStyle w:val="2"/>
        <w:rPr>
          <w:rFonts w:hint="default" w:ascii="宋体" w:hAnsi="宋体" w:eastAsia="宋体" w:cs="宋体"/>
          <w:sz w:val="21"/>
          <w:szCs w:val="21"/>
          <w:lang w:val="en-US" w:eastAsia="zh-CN"/>
        </w:rPr>
      </w:pPr>
      <w:r>
        <w:rPr>
          <w:rFonts w:hint="eastAsia"/>
          <w:sz w:val="21"/>
          <w:szCs w:val="21"/>
          <w:lang w:val="en-US" w:eastAsia="zh-CN"/>
        </w:rPr>
        <w:t xml:space="preserve">        六、投标人须知前附表规定的其他资料。</w:t>
      </w:r>
    </w:p>
    <w:p>
      <w:pPr>
        <w:numPr>
          <w:ilvl w:val="0"/>
          <w:numId w:val="15"/>
        </w:numPr>
        <w:spacing w:line="406" w:lineRule="auto"/>
        <w:ind w:left="429" w:leftChars="0" w:right="206" w:rightChars="0" w:hanging="9" w:firstLineChars="0"/>
        <w:rPr>
          <w:color w:val="auto"/>
        </w:rPr>
      </w:pPr>
      <w:r>
        <w:rPr>
          <w:color w:val="auto"/>
        </w:rPr>
        <w:br w:type="page"/>
      </w:r>
    </w:p>
    <w:p>
      <w:pPr>
        <w:pStyle w:val="4"/>
        <w:spacing w:after="461"/>
        <w:ind w:left="1359" w:right="1561"/>
        <w:jc w:val="center"/>
        <w:rPr>
          <w:color w:val="auto"/>
        </w:rPr>
      </w:pPr>
      <w:bookmarkStart w:id="50" w:name="_Toc26508"/>
      <w:r>
        <w:rPr>
          <w:rFonts w:hint="eastAsia"/>
          <w:color w:val="auto"/>
          <w:lang w:eastAsia="zh-CN"/>
        </w:rPr>
        <w:t>一</w:t>
      </w:r>
      <w:r>
        <w:rPr>
          <w:color w:val="auto"/>
        </w:rPr>
        <w:t>、授权委托书</w:t>
      </w:r>
      <w:bookmarkEnd w:id="50"/>
    </w:p>
    <w:p>
      <w:pPr>
        <w:spacing w:line="407" w:lineRule="auto"/>
        <w:ind w:left="-15" w:firstLine="420"/>
        <w:rPr>
          <w:color w:val="auto"/>
        </w:rPr>
      </w:pPr>
      <w:r>
        <w:rPr>
          <w:color w:val="auto"/>
        </w:rPr>
        <w:t xml:space="preserve">本人（姓名）系（投标人名称）的法定代表人（单位负责人），现委托（姓名）为我方代理人。代理人根据授权，以我方名义签署、澄清确认、递交、撤回、修改 </w:t>
      </w:r>
      <w:r>
        <w:rPr>
          <w:rFonts w:hint="eastAsia"/>
          <w:color w:val="auto"/>
          <w:lang w:eastAsia="zh-CN"/>
        </w:rPr>
        <w:t>招议标</w:t>
      </w:r>
      <w:r>
        <w:rPr>
          <w:color w:val="auto"/>
        </w:rPr>
        <w:t>项目投标文件、签订合同和处理有关事宜，其法律后果由我方承担。</w:t>
      </w:r>
    </w:p>
    <w:p>
      <w:pPr>
        <w:spacing w:after="158"/>
        <w:ind w:left="-6"/>
        <w:rPr>
          <w:color w:val="auto"/>
        </w:rPr>
      </w:pPr>
      <w:r>
        <w:rPr>
          <w:color w:val="auto"/>
        </w:rPr>
        <w:t>委托期限：。</w:t>
      </w:r>
    </w:p>
    <w:p>
      <w:pPr>
        <w:spacing w:after="616"/>
        <w:ind w:left="429"/>
        <w:rPr>
          <w:color w:val="auto"/>
        </w:rPr>
      </w:pPr>
      <w:r>
        <w:rPr>
          <w:color w:val="auto"/>
        </w:rPr>
        <w:t>代理人无转委托权。</w:t>
      </w:r>
    </w:p>
    <w:p>
      <w:pPr>
        <w:spacing w:after="40" w:line="408" w:lineRule="auto"/>
        <w:ind w:left="-17" w:firstLine="420"/>
        <w:rPr>
          <w:color w:val="auto"/>
        </w:rPr>
      </w:pPr>
      <w:r>
        <w:rPr>
          <w:color w:val="auto"/>
        </w:rPr>
        <w:t>附：法定代表人（单位负责人）身份证复印件</w:t>
      </w:r>
      <w:r>
        <w:rPr>
          <w:rFonts w:hint="eastAsia"/>
          <w:color w:val="auto"/>
        </w:rPr>
        <w:t>及委托代理人身份证复印件。</w:t>
      </w:r>
    </w:p>
    <w:p>
      <w:pPr>
        <w:spacing w:after="40" w:line="408" w:lineRule="auto"/>
        <w:ind w:left="-17" w:firstLine="420"/>
        <w:rPr>
          <w:color w:val="auto"/>
          <w:u w:val="single"/>
        </w:rPr>
      </w:pPr>
      <w:r>
        <w:rPr>
          <w:rFonts w:hint="eastAsia"/>
          <w:color w:val="auto"/>
        </w:rPr>
        <w:t>投标人：</w:t>
      </w:r>
      <w:r>
        <w:rPr>
          <w:rFonts w:hint="eastAsia"/>
          <w:color w:val="auto"/>
          <w:u w:val="single"/>
        </w:rPr>
        <w:t xml:space="preserve"> </w:t>
      </w:r>
      <w:r>
        <w:rPr>
          <w:color w:val="auto"/>
          <w:u w:val="single"/>
        </w:rPr>
        <w:t xml:space="preserve">                    </w:t>
      </w:r>
      <w:r>
        <w:rPr>
          <w:rFonts w:hint="eastAsia"/>
          <w:color w:val="auto"/>
          <w:u w:val="single"/>
        </w:rPr>
        <w:t>（盖单位章）</w:t>
      </w:r>
    </w:p>
    <w:p>
      <w:pPr>
        <w:spacing w:after="40" w:line="408" w:lineRule="auto"/>
        <w:ind w:left="-17" w:firstLine="420"/>
        <w:rPr>
          <w:color w:val="auto"/>
          <w:u w:val="single"/>
        </w:rPr>
      </w:pPr>
      <w:r>
        <w:rPr>
          <w:rFonts w:hint="eastAsia"/>
          <w:color w:val="auto"/>
        </w:rPr>
        <w:t>法定代表人（单位负责人）：</w:t>
      </w:r>
      <w:r>
        <w:rPr>
          <w:rFonts w:hint="eastAsia"/>
          <w:color w:val="auto"/>
          <w:u w:val="single"/>
        </w:rPr>
        <w:t xml:space="preserve"> </w:t>
      </w:r>
      <w:r>
        <w:rPr>
          <w:color w:val="auto"/>
          <w:u w:val="single"/>
        </w:rPr>
        <w:t xml:space="preserve">                </w:t>
      </w:r>
      <w:r>
        <w:rPr>
          <w:rFonts w:hint="eastAsia"/>
          <w:color w:val="auto"/>
          <w:u w:val="single"/>
        </w:rPr>
        <w:t>（签字）</w:t>
      </w:r>
    </w:p>
    <w:p>
      <w:pPr>
        <w:spacing w:after="40" w:line="408" w:lineRule="auto"/>
        <w:ind w:left="-17" w:firstLine="420"/>
        <w:rPr>
          <w:color w:val="auto"/>
          <w:u w:val="single"/>
        </w:rPr>
      </w:pPr>
      <w:r>
        <w:rPr>
          <w:rFonts w:hint="eastAsia"/>
          <w:color w:val="auto"/>
        </w:rPr>
        <w:t>身份证号码：</w:t>
      </w:r>
      <w:r>
        <w:rPr>
          <w:rFonts w:hint="eastAsia"/>
          <w:color w:val="auto"/>
          <w:u w:val="single"/>
        </w:rPr>
        <w:t xml:space="preserve"> </w:t>
      </w:r>
      <w:r>
        <w:rPr>
          <w:color w:val="auto"/>
          <w:u w:val="single"/>
        </w:rPr>
        <w:t xml:space="preserve">                                   </w:t>
      </w:r>
    </w:p>
    <w:p>
      <w:pPr>
        <w:spacing w:after="40" w:line="408" w:lineRule="auto"/>
        <w:ind w:left="-17" w:firstLine="420"/>
        <w:rPr>
          <w:color w:val="auto"/>
          <w:u w:val="single"/>
        </w:rPr>
      </w:pPr>
      <w:r>
        <w:rPr>
          <w:rFonts w:hint="eastAsia"/>
          <w:color w:val="auto"/>
        </w:rPr>
        <w:t>委托代理人：</w:t>
      </w:r>
      <w:r>
        <w:rPr>
          <w:rFonts w:hint="eastAsia"/>
          <w:color w:val="auto"/>
          <w:u w:val="single"/>
        </w:rPr>
        <w:t xml:space="preserve"> </w:t>
      </w:r>
      <w:r>
        <w:rPr>
          <w:color w:val="auto"/>
          <w:u w:val="single"/>
        </w:rPr>
        <w:t xml:space="preserve">                            </w:t>
      </w:r>
      <w:r>
        <w:rPr>
          <w:rFonts w:hint="eastAsia"/>
          <w:color w:val="auto"/>
          <w:u w:val="single"/>
        </w:rPr>
        <w:t>（签字）</w:t>
      </w:r>
    </w:p>
    <w:p>
      <w:pPr>
        <w:spacing w:after="40" w:line="408" w:lineRule="auto"/>
        <w:ind w:left="-17" w:firstLine="420"/>
        <w:rPr>
          <w:color w:val="auto"/>
          <w:u w:val="single"/>
        </w:rPr>
      </w:pPr>
      <w:r>
        <w:rPr>
          <w:rFonts w:hint="eastAsia"/>
          <w:color w:val="auto"/>
        </w:rPr>
        <w:t>身份证号码：</w:t>
      </w:r>
      <w:r>
        <w:rPr>
          <w:rFonts w:hint="eastAsia"/>
          <w:color w:val="auto"/>
          <w:u w:val="single"/>
        </w:rPr>
        <w:t xml:space="preserve"> </w:t>
      </w:r>
      <w:r>
        <w:rPr>
          <w:color w:val="auto"/>
          <w:u w:val="single"/>
        </w:rPr>
        <w:t xml:space="preserve">                                </w:t>
      </w:r>
    </w:p>
    <w:p>
      <w:pPr>
        <w:spacing w:after="40" w:line="408" w:lineRule="auto"/>
        <w:ind w:left="-17" w:firstLine="420"/>
        <w:jc w:val="right"/>
        <w:rPr>
          <w:color w:val="auto"/>
          <w:u w:val="single"/>
        </w:rPr>
      </w:pPr>
      <w:r>
        <w:rPr>
          <w:rFonts w:hint="eastAsia"/>
          <w:color w:val="auto"/>
          <w:u w:val="single"/>
        </w:rPr>
        <w:t xml:space="preserve"> </w:t>
      </w:r>
      <w:r>
        <w:rPr>
          <w:color w:val="auto"/>
          <w:u w:val="single"/>
        </w:rPr>
        <w:t xml:space="preserve">       </w:t>
      </w:r>
      <w:r>
        <w:rPr>
          <w:rFonts w:hint="eastAsia"/>
          <w:color w:val="auto"/>
          <w:u w:val="single"/>
        </w:rPr>
        <w:t xml:space="preserve">年 </w:t>
      </w:r>
      <w:r>
        <w:rPr>
          <w:color w:val="auto"/>
          <w:u w:val="single"/>
        </w:rPr>
        <w:t xml:space="preserve">   </w:t>
      </w:r>
      <w:r>
        <w:rPr>
          <w:rFonts w:hint="eastAsia"/>
          <w:color w:val="auto"/>
          <w:u w:val="single"/>
        </w:rPr>
        <w:t xml:space="preserve">月 </w:t>
      </w:r>
      <w:r>
        <w:rPr>
          <w:color w:val="auto"/>
          <w:u w:val="single"/>
        </w:rPr>
        <w:t xml:space="preserve">   </w:t>
      </w:r>
      <w:r>
        <w:rPr>
          <w:rFonts w:hint="eastAsia"/>
          <w:color w:val="auto"/>
          <w:u w:val="single"/>
        </w:rPr>
        <w:t>日</w:t>
      </w:r>
    </w:p>
    <w:p>
      <w:pPr>
        <w:tabs>
          <w:tab w:val="center" w:pos="3707"/>
          <w:tab w:val="right" w:pos="8995"/>
        </w:tabs>
        <w:spacing w:after="762" w:line="265" w:lineRule="auto"/>
        <w:ind w:left="0" w:firstLine="0"/>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4"/>
        <w:spacing w:after="387"/>
        <w:ind w:left="1359" w:right="1561"/>
        <w:jc w:val="center"/>
        <w:rPr>
          <w:color w:val="auto"/>
        </w:rPr>
      </w:pPr>
      <w:bookmarkStart w:id="51" w:name="_Toc1081"/>
      <w:r>
        <w:rPr>
          <w:rFonts w:hint="eastAsia"/>
          <w:color w:val="auto"/>
          <w:lang w:eastAsia="zh-CN"/>
        </w:rPr>
        <w:t>二</w:t>
      </w:r>
      <w:r>
        <w:rPr>
          <w:color w:val="auto"/>
        </w:rPr>
        <w:t>、联合体协议书</w:t>
      </w:r>
      <w:bookmarkEnd w:id="51"/>
    </w:p>
    <w:p>
      <w:pPr>
        <w:spacing w:line="383" w:lineRule="auto"/>
        <w:ind w:left="-15" w:firstLine="420"/>
        <w:rPr>
          <w:color w:val="auto"/>
        </w:rPr>
      </w:pPr>
      <w:r>
        <w:rPr>
          <w:color w:val="auto"/>
        </w:rPr>
        <w:t>（所有成员单位名称）自愿组成（联合体名称）联合体，共同参加（项目名称）</w:t>
      </w:r>
      <w:r>
        <w:rPr>
          <w:rFonts w:ascii="Times New Roman" w:hAnsi="Times New Roman" w:eastAsia="Times New Roman" w:cs="Times New Roman"/>
          <w:color w:val="auto"/>
        </w:rPr>
        <w:t>_________</w:t>
      </w:r>
      <w:r>
        <w:rPr>
          <w:color w:val="auto"/>
        </w:rPr>
        <w:t xml:space="preserve"> </w:t>
      </w:r>
      <w:r>
        <w:rPr>
          <w:rFonts w:hint="eastAsia"/>
          <w:color w:val="auto"/>
          <w:lang w:eastAsia="zh-CN"/>
        </w:rPr>
        <w:t>招议标</w:t>
      </w:r>
      <w:r>
        <w:rPr>
          <w:color w:val="auto"/>
        </w:rPr>
        <w:t>项目投标。现就联合体投标事宜订立如下协议。</w:t>
      </w:r>
    </w:p>
    <w:p>
      <w:pPr>
        <w:numPr>
          <w:ilvl w:val="0"/>
          <w:numId w:val="16"/>
        </w:numPr>
        <w:spacing w:after="144"/>
        <w:ind w:firstLine="415"/>
        <w:rPr>
          <w:color w:val="auto"/>
        </w:rPr>
      </w:pPr>
      <w:r>
        <w:rPr>
          <w:color w:val="auto"/>
        </w:rPr>
        <w:t>（某成员单位名称）为（联合体名称）牵头人。</w:t>
      </w:r>
    </w:p>
    <w:p>
      <w:pPr>
        <w:numPr>
          <w:ilvl w:val="0"/>
          <w:numId w:val="16"/>
        </w:numPr>
        <w:spacing w:after="138"/>
        <w:ind w:firstLine="415"/>
        <w:rPr>
          <w:color w:val="auto"/>
        </w:rPr>
      </w:pPr>
      <w:r>
        <w:rPr>
          <w:color w:val="auto"/>
        </w:rPr>
        <w:t>联合体各成员授权牵头人代表联合体参加投标活动，签署文件，提交和接收相关的资料、信息及指示，进行合同谈判活动，负责合同实施阶段的组织和协调工作，以及处理与本</w:t>
      </w:r>
      <w:r>
        <w:rPr>
          <w:rFonts w:hint="eastAsia"/>
          <w:color w:val="auto"/>
          <w:lang w:eastAsia="zh-CN"/>
        </w:rPr>
        <w:t>招议标</w:t>
      </w:r>
      <w:r>
        <w:rPr>
          <w:color w:val="auto"/>
        </w:rPr>
        <w:t>项目有关的一切事宜。</w:t>
      </w:r>
    </w:p>
    <w:p>
      <w:pPr>
        <w:numPr>
          <w:ilvl w:val="0"/>
          <w:numId w:val="16"/>
        </w:numPr>
        <w:spacing w:after="5" w:line="417" w:lineRule="auto"/>
        <w:ind w:firstLine="415"/>
        <w:rPr>
          <w:color w:val="auto"/>
        </w:rPr>
      </w:pPr>
      <w:r>
        <w:rPr>
          <w:color w:val="auto"/>
        </w:rPr>
        <w:t>联合体牵头人在本项目中签署的一切文件和处理的一切事宜，联合体各成员均予以承认。联合体各成员将严格按照</w:t>
      </w:r>
      <w:r>
        <w:rPr>
          <w:rFonts w:hint="eastAsia"/>
          <w:color w:val="auto"/>
          <w:lang w:eastAsia="zh-CN"/>
        </w:rPr>
        <w:t>招议标</w:t>
      </w:r>
      <w:r>
        <w:rPr>
          <w:color w:val="auto"/>
        </w:rPr>
        <w:t>文件、投标文件和合同的要求全面履行义务，并向</w:t>
      </w:r>
      <w:r>
        <w:rPr>
          <w:rFonts w:hint="eastAsia"/>
          <w:color w:val="auto"/>
          <w:lang w:eastAsia="zh-CN"/>
        </w:rPr>
        <w:t>招议标</w:t>
      </w:r>
      <w:r>
        <w:rPr>
          <w:color w:val="auto"/>
        </w:rPr>
        <w:t>人承担连带责任。</w:t>
      </w:r>
    </w:p>
    <w:p>
      <w:pPr>
        <w:numPr>
          <w:ilvl w:val="0"/>
          <w:numId w:val="16"/>
        </w:numPr>
        <w:spacing w:after="144"/>
        <w:ind w:firstLine="415"/>
        <w:rPr>
          <w:color w:val="auto"/>
        </w:rPr>
      </w:pPr>
      <w:r>
        <w:rPr>
          <w:color w:val="auto"/>
        </w:rPr>
        <w:t>联合体各成员单位内部的职责分工如下：。</w:t>
      </w:r>
    </w:p>
    <w:p>
      <w:pPr>
        <w:numPr>
          <w:ilvl w:val="0"/>
          <w:numId w:val="16"/>
        </w:numPr>
        <w:spacing w:line="389" w:lineRule="auto"/>
        <w:ind w:firstLine="415"/>
        <w:rPr>
          <w:color w:val="auto"/>
        </w:rPr>
      </w:pPr>
      <w:r>
        <w:rPr>
          <w:color w:val="auto"/>
        </w:rPr>
        <w:t>本协议书自所有成员单位法定代表人（单位负责人）或其委托代理人签字或盖单位章之日起生效，合同履行完毕后自动失效。</w:t>
      </w:r>
    </w:p>
    <w:p>
      <w:pPr>
        <w:numPr>
          <w:ilvl w:val="0"/>
          <w:numId w:val="16"/>
        </w:numPr>
        <w:spacing w:after="558"/>
        <w:ind w:firstLine="415"/>
        <w:rPr>
          <w:color w:val="auto"/>
        </w:rPr>
      </w:pPr>
      <w:r>
        <w:rPr>
          <w:color w:val="auto"/>
        </w:rPr>
        <w:t>本协议书一式份，联合体成员和</w:t>
      </w:r>
      <w:r>
        <w:rPr>
          <w:rFonts w:hint="eastAsia"/>
          <w:color w:val="auto"/>
          <w:lang w:eastAsia="zh-CN"/>
        </w:rPr>
        <w:t>招议标</w:t>
      </w:r>
      <w:r>
        <w:rPr>
          <w:color w:val="auto"/>
        </w:rPr>
        <w:t>人各执一份。</w:t>
      </w:r>
    </w:p>
    <w:p>
      <w:pPr>
        <w:spacing w:after="117"/>
        <w:ind w:left="429"/>
        <w:rPr>
          <w:color w:val="auto"/>
        </w:rPr>
      </w:pPr>
      <w:r>
        <w:rPr>
          <w:color w:val="auto"/>
        </w:rPr>
        <w:t>注：本协议书由法定代表人（单位负责人）签字的，应附法定代表人（单位负责人）身份证</w:t>
      </w:r>
    </w:p>
    <w:p>
      <w:pPr>
        <w:spacing w:after="328"/>
        <w:ind w:left="-6"/>
        <w:rPr>
          <w:color w:val="auto"/>
        </w:rPr>
      </w:pPr>
      <w:r>
        <w:rPr>
          <w:color w:val="auto"/>
        </w:rPr>
        <w:t>明；由委托代理人签字的，应附授权委托书。</w:t>
      </w:r>
    </w:p>
    <w:p>
      <w:pPr>
        <w:spacing w:after="126" w:line="259" w:lineRule="auto"/>
        <w:ind w:left="41" w:firstLine="2226" w:firstLineChars="1060"/>
        <w:jc w:val="both"/>
        <w:rPr>
          <w:color w:val="auto"/>
          <w:u w:val="single"/>
        </w:rPr>
      </w:pPr>
      <w:r>
        <w:rPr>
          <w:color w:val="auto"/>
        </w:rPr>
        <w:t>联合体牵头人名称：</w:t>
      </w:r>
      <w:r>
        <w:rPr>
          <w:rFonts w:hint="eastAsia"/>
          <w:color w:val="auto"/>
          <w:u w:val="single"/>
        </w:rPr>
        <w:t xml:space="preserve"> </w:t>
      </w:r>
      <w:r>
        <w:rPr>
          <w:color w:val="auto"/>
          <w:u w:val="single"/>
        </w:rPr>
        <w:t xml:space="preserve">               </w:t>
      </w:r>
      <w:r>
        <w:rPr>
          <w:color w:val="auto"/>
        </w:rPr>
        <w:t>（盖单位章）</w:t>
      </w:r>
    </w:p>
    <w:p>
      <w:pPr>
        <w:spacing w:after="126" w:line="259" w:lineRule="auto"/>
        <w:ind w:left="41" w:firstLine="2226" w:firstLineChars="1060"/>
        <w:jc w:val="both"/>
        <w:rPr>
          <w:color w:val="auto"/>
          <w:u w:val="single"/>
        </w:rPr>
      </w:pPr>
      <w:r>
        <w:rPr>
          <w:color w:val="auto"/>
        </w:rPr>
        <w:t>法定代表人（单位负责人）或其委托代理人</w:t>
      </w:r>
      <w:r>
        <w:rPr>
          <w:rFonts w:hint="eastAsia"/>
          <w:color w:val="auto"/>
        </w:rPr>
        <w:t>：</w:t>
      </w:r>
      <w:r>
        <w:rPr>
          <w:rFonts w:hint="eastAsia"/>
          <w:color w:val="auto"/>
          <w:u w:val="single"/>
        </w:rPr>
        <w:t xml:space="preserve"> </w:t>
      </w:r>
      <w:r>
        <w:rPr>
          <w:color w:val="auto"/>
          <w:u w:val="single"/>
        </w:rPr>
        <w:t xml:space="preserve">               </w:t>
      </w:r>
      <w:r>
        <w:rPr>
          <w:rFonts w:hint="eastAsia"/>
          <w:color w:val="auto"/>
          <w:u w:val="single"/>
        </w:rPr>
        <w:t>（签字）</w:t>
      </w:r>
    </w:p>
    <w:p>
      <w:pPr>
        <w:spacing w:after="126" w:line="259" w:lineRule="auto"/>
        <w:ind w:left="41" w:firstLine="2226" w:firstLineChars="1060"/>
        <w:jc w:val="both"/>
        <w:rPr>
          <w:color w:val="auto"/>
          <w:u w:val="single"/>
        </w:rPr>
      </w:pPr>
      <w:r>
        <w:rPr>
          <w:color w:val="auto"/>
        </w:rPr>
        <w:t>联合体成员名称：</w:t>
      </w:r>
      <w:r>
        <w:rPr>
          <w:rFonts w:hint="eastAsia"/>
          <w:color w:val="auto"/>
          <w:u w:val="single"/>
        </w:rPr>
        <w:t xml:space="preserve"> </w:t>
      </w:r>
      <w:r>
        <w:rPr>
          <w:color w:val="auto"/>
          <w:u w:val="single"/>
        </w:rPr>
        <w:t xml:space="preserve">                   </w:t>
      </w:r>
      <w:r>
        <w:rPr>
          <w:color w:val="auto"/>
        </w:rPr>
        <w:t>（盖单位章）</w:t>
      </w:r>
    </w:p>
    <w:p>
      <w:pPr>
        <w:spacing w:after="126" w:line="259" w:lineRule="auto"/>
        <w:ind w:left="41" w:firstLine="2226" w:firstLineChars="1060"/>
        <w:jc w:val="both"/>
        <w:rPr>
          <w:color w:val="auto"/>
        </w:rPr>
      </w:pPr>
      <w:r>
        <w:rPr>
          <w:color w:val="auto"/>
        </w:rPr>
        <w:t>法定代表人（单位负责人）或其委托代理人：</w:t>
      </w:r>
      <w:r>
        <w:rPr>
          <w:color w:val="auto"/>
          <w:u w:val="single"/>
        </w:rPr>
        <w:t xml:space="preserve">               </w:t>
      </w:r>
      <w:r>
        <w:rPr>
          <w:rFonts w:hint="eastAsia"/>
          <w:color w:val="auto"/>
          <w:u w:val="single"/>
        </w:rPr>
        <w:t>（签字）</w:t>
      </w:r>
    </w:p>
    <w:p>
      <w:pPr>
        <w:spacing w:after="126" w:line="259" w:lineRule="auto"/>
        <w:ind w:left="41" w:firstLine="2226" w:firstLineChars="1060"/>
        <w:jc w:val="both"/>
        <w:rPr>
          <w:color w:val="auto"/>
        </w:rPr>
      </w:pPr>
      <w:r>
        <w:rPr>
          <w:color w:val="auto"/>
        </w:rPr>
        <w:t>联合体成员名称</w:t>
      </w:r>
      <w:r>
        <w:rPr>
          <w:rFonts w:hint="eastAsia"/>
          <w:color w:val="auto"/>
        </w:rPr>
        <w:t>：</w:t>
      </w:r>
      <w:r>
        <w:rPr>
          <w:rFonts w:hint="eastAsia"/>
          <w:color w:val="auto"/>
          <w:u w:val="single"/>
        </w:rPr>
        <w:t xml:space="preserve"> </w:t>
      </w:r>
      <w:r>
        <w:rPr>
          <w:color w:val="auto"/>
          <w:u w:val="single"/>
        </w:rPr>
        <w:t xml:space="preserve">                   </w:t>
      </w:r>
      <w:r>
        <w:rPr>
          <w:color w:val="auto"/>
        </w:rPr>
        <w:t>（盖单位章）</w:t>
      </w:r>
    </w:p>
    <w:p>
      <w:pPr>
        <w:spacing w:after="126" w:line="259" w:lineRule="auto"/>
        <w:ind w:left="0" w:firstLine="2226" w:firstLineChars="1060"/>
        <w:rPr>
          <w:color w:val="auto"/>
        </w:rPr>
      </w:pPr>
      <w:r>
        <w:rPr>
          <w:color w:val="auto"/>
        </w:rPr>
        <w:t>法定代表人（单位负责人）或其委托代理人：</w:t>
      </w:r>
      <w:r>
        <w:rPr>
          <w:color w:val="auto"/>
          <w:u w:val="single"/>
        </w:rPr>
        <w:t xml:space="preserve">               </w:t>
      </w:r>
      <w:r>
        <w:rPr>
          <w:rFonts w:hint="eastAsia"/>
          <w:color w:val="auto"/>
          <w:u w:val="single"/>
        </w:rPr>
        <w:t>（签字）</w:t>
      </w:r>
    </w:p>
    <w:p>
      <w:pPr>
        <w:spacing w:after="328"/>
        <w:ind w:left="-6" w:firstLine="420" w:firstLineChars="200"/>
        <w:jc w:val="right"/>
        <w:rPr>
          <w:color w:val="auto"/>
          <w:u w:val="single"/>
        </w:rPr>
      </w:pPr>
      <w:r>
        <w:rPr>
          <w:rFonts w:hint="eastAsia"/>
          <w:color w:val="auto"/>
          <w:u w:val="single"/>
        </w:rPr>
        <w:t xml:space="preserve"> </w:t>
      </w:r>
      <w:r>
        <w:rPr>
          <w:color w:val="auto"/>
          <w:u w:val="single"/>
        </w:rPr>
        <w:t xml:space="preserve">     </w:t>
      </w:r>
      <w:r>
        <w:rPr>
          <w:rFonts w:hint="eastAsia"/>
          <w:color w:val="auto"/>
          <w:u w:val="single"/>
        </w:rPr>
        <w:t xml:space="preserve">年 </w:t>
      </w:r>
      <w:r>
        <w:rPr>
          <w:color w:val="auto"/>
          <w:u w:val="single"/>
        </w:rPr>
        <w:t xml:space="preserve">  </w:t>
      </w:r>
      <w:r>
        <w:rPr>
          <w:rFonts w:hint="eastAsia"/>
          <w:color w:val="auto"/>
          <w:u w:val="single"/>
        </w:rPr>
        <w:t xml:space="preserve">月 </w:t>
      </w:r>
      <w:r>
        <w:rPr>
          <w:color w:val="auto"/>
          <w:u w:val="single"/>
        </w:rPr>
        <w:t xml:space="preserve">  </w:t>
      </w:r>
      <w:r>
        <w:rPr>
          <w:rFonts w:hint="eastAsia"/>
          <w:color w:val="auto"/>
          <w:u w:val="single"/>
        </w:rPr>
        <w:t>日</w:t>
      </w:r>
    </w:p>
    <w:p>
      <w:pPr>
        <w:spacing w:after="328"/>
        <w:ind w:left="-6" w:firstLine="420" w:firstLineChars="200"/>
        <w:jc w:val="right"/>
        <w:rPr>
          <w:color w:val="auto"/>
          <w:u w:val="single"/>
        </w:rPr>
      </w:pPr>
    </w:p>
    <w:p>
      <w:pPr>
        <w:spacing w:after="328"/>
        <w:ind w:left="-6" w:firstLine="420" w:firstLineChars="200"/>
        <w:jc w:val="right"/>
        <w:rPr>
          <w:color w:val="auto"/>
          <w:u w:val="single"/>
        </w:rPr>
      </w:pPr>
    </w:p>
    <w:p>
      <w:pPr>
        <w:pStyle w:val="4"/>
        <w:spacing w:after="0"/>
        <w:ind w:left="0" w:leftChars="0" w:right="0" w:firstLine="0" w:firstLineChars="0"/>
        <w:rPr>
          <w:color w:val="auto"/>
        </w:rPr>
      </w:pPr>
    </w:p>
    <w:sectPr>
      <w:footerReference r:id="rId14" w:type="default"/>
      <w:type w:val="continuous"/>
      <w:pgSz w:w="11907" w:h="16840"/>
      <w:pgMar w:top="1876" w:right="1323" w:bottom="1608" w:left="1589"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auto"/>
    <w:pitch w:val="default"/>
    <w:sig w:usb0="E1002EFF" w:usb1="C000605B" w:usb2="00000029" w:usb3="00000000" w:csb0="200101FF" w:csb1="20280000"/>
  </w:font>
  <w:font w:name="Wingdings 2">
    <w:altName w:val="Wingdings"/>
    <w:panose1 w:val="05020102010507070707"/>
    <w:charset w:val="02"/>
    <w:family w:val="roman"/>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Sakkal Majalla">
    <w:panose1 w:val="02000000000000000000"/>
    <w:charset w:val="00"/>
    <w:family w:val="auto"/>
    <w:pitch w:val="default"/>
    <w:sig w:usb0="A000207F" w:usb1="C000204B" w:usb2="00000008" w:usb3="00000000" w:csb0="2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firstLine="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07" w:firstLine="0"/>
      <w:jc w:val="center"/>
    </w:pPr>
    <w:r>
      <w:fldChar w:fldCharType="begin"/>
    </w:r>
    <w:r>
      <w:instrText xml:space="preserve"> PAGE   \* MERGEFORMAT </w:instrText>
    </w:r>
    <w:r>
      <w:fldChar w:fldCharType="separate"/>
    </w:r>
    <w:r>
      <w:rPr>
        <w:rFonts w:ascii="Times New Roman" w:hAnsi="Times New Roman" w:eastAsia="Times New Roman" w:cs="Times New Roman"/>
        <w:sz w:val="18"/>
      </w:rPr>
      <w:t>5</w:t>
    </w:r>
    <w:r>
      <w:rPr>
        <w:rFonts w:ascii="Times New Roman" w:hAnsi="Times New Roman" w:eastAsia="Times New Roman" w:cs="Times New Roman"/>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7" w:firstLine="0"/>
      <w:jc w:val="center"/>
    </w:pPr>
    <w:r>
      <w:fldChar w:fldCharType="begin"/>
    </w:r>
    <w:r>
      <w:instrText xml:space="preserve"> PAGE   \* MERGEFORMAT </w:instrText>
    </w:r>
    <w:r>
      <w:fldChar w:fldCharType="separate"/>
    </w:r>
    <w:r>
      <w:rPr>
        <w:rFonts w:ascii="Calibri" w:hAnsi="Calibri" w:eastAsia="Calibri" w:cs="Calibri"/>
      </w:rPr>
      <w:t>3</w:t>
    </w:r>
    <w:r>
      <w:rPr>
        <w:rFonts w:ascii="Calibri" w:hAnsi="Calibri" w:eastAsia="Calibri" w:cs="Calibr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7" w:firstLine="0"/>
      <w:jc w:val="center"/>
    </w:pPr>
    <w:r>
      <w:fldChar w:fldCharType="begin"/>
    </w:r>
    <w:r>
      <w:instrText xml:space="preserve"> PAGE   \* MERGEFORMAT </w:instrText>
    </w:r>
    <w:r>
      <w:fldChar w:fldCharType="separate"/>
    </w:r>
    <w:r>
      <w:rPr>
        <w:rFonts w:ascii="Calibri" w:hAnsi="Calibri" w:eastAsia="Calibri" w:cs="Calibri"/>
      </w:rPr>
      <w:t>1</w:t>
    </w:r>
    <w:r>
      <w:rPr>
        <w:rFonts w:ascii="Calibri" w:hAnsi="Calibri" w:eastAsia="Calibri" w:cs="Calibri"/>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7" w:firstLine="0"/>
      <w:jc w:val="center"/>
    </w:pPr>
    <w:r>
      <w:fldChar w:fldCharType="begin"/>
    </w:r>
    <w:r>
      <w:instrText xml:space="preserve"> PAGE   \* MERGEFORMAT </w:instrText>
    </w:r>
    <w:r>
      <w:fldChar w:fldCharType="separate"/>
    </w:r>
    <w:r>
      <w:rPr>
        <w:rFonts w:ascii="Calibri" w:hAnsi="Calibri" w:eastAsia="Calibri" w:cs="Calibri"/>
      </w:rPr>
      <w:t>1</w:t>
    </w:r>
    <w:r>
      <w:rPr>
        <w:rFonts w:ascii="Calibri" w:hAnsi="Calibri" w:eastAsia="Calibri" w:cs="Calibri"/>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firstLine="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firstLine="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0" w:lineRule="auto"/>
      </w:pPr>
      <w:r>
        <w:separator/>
      </w:r>
    </w:p>
  </w:footnote>
  <w:footnote w:type="continuationSeparator" w:id="1">
    <w:p>
      <w:pPr>
        <w:spacing w:before="0" w:after="0" w:line="27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A0BB7C"/>
    <w:multiLevelType w:val="singleLevel"/>
    <w:tmpl w:val="8CA0BB7C"/>
    <w:lvl w:ilvl="0" w:tentative="0">
      <w:start w:val="1"/>
      <w:numFmt w:val="chineseCounting"/>
      <w:suff w:val="nothing"/>
      <w:lvlText w:val="%1、"/>
      <w:lvlJc w:val="left"/>
      <w:rPr>
        <w:rFonts w:hint="eastAsia"/>
      </w:rPr>
    </w:lvl>
  </w:abstractNum>
  <w:abstractNum w:abstractNumId="1">
    <w:nsid w:val="C1FED315"/>
    <w:multiLevelType w:val="singleLevel"/>
    <w:tmpl w:val="C1FED315"/>
    <w:lvl w:ilvl="0" w:tentative="0">
      <w:start w:val="1"/>
      <w:numFmt w:val="decimal"/>
      <w:suff w:val="nothing"/>
      <w:lvlText w:val="%1、"/>
      <w:lvlJc w:val="left"/>
    </w:lvl>
  </w:abstractNum>
  <w:abstractNum w:abstractNumId="2">
    <w:nsid w:val="01356ABB"/>
    <w:multiLevelType w:val="multilevel"/>
    <w:tmpl w:val="01356ABB"/>
    <w:lvl w:ilvl="0" w:tentative="0">
      <w:start w:val="1"/>
      <w:numFmt w:val="decimal"/>
      <w:lvlText w:val="（%1）"/>
      <w:lvlJc w:val="left"/>
      <w:pPr>
        <w:ind w:left="420"/>
      </w:pPr>
      <w:rPr>
        <w:rFonts w:ascii="宋体" w:hAnsi="宋体" w:eastAsia="宋体" w:cs="宋体"/>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500"/>
      </w:pPr>
      <w:rPr>
        <w:rFonts w:ascii="宋体" w:hAnsi="宋体" w:eastAsia="宋体" w:cs="宋体"/>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2220"/>
      </w:pPr>
      <w:rPr>
        <w:rFonts w:ascii="宋体" w:hAnsi="宋体" w:eastAsia="宋体" w:cs="宋体"/>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940"/>
      </w:pPr>
      <w:rPr>
        <w:rFonts w:ascii="宋体" w:hAnsi="宋体" w:eastAsia="宋体" w:cs="宋体"/>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660"/>
      </w:pPr>
      <w:rPr>
        <w:rFonts w:ascii="宋体" w:hAnsi="宋体" w:eastAsia="宋体" w:cs="宋体"/>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4380"/>
      </w:pPr>
      <w:rPr>
        <w:rFonts w:ascii="宋体" w:hAnsi="宋体" w:eastAsia="宋体" w:cs="宋体"/>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5100"/>
      </w:pPr>
      <w:rPr>
        <w:rFonts w:ascii="宋体" w:hAnsi="宋体" w:eastAsia="宋体" w:cs="宋体"/>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820"/>
      </w:pPr>
      <w:rPr>
        <w:rFonts w:ascii="宋体" w:hAnsi="宋体" w:eastAsia="宋体" w:cs="宋体"/>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540"/>
      </w:pPr>
      <w:rPr>
        <w:rFonts w:ascii="宋体" w:hAnsi="宋体" w:eastAsia="宋体" w:cs="宋体"/>
        <w:b w:val="0"/>
        <w:i w:val="0"/>
        <w:strike w:val="0"/>
        <w:dstrike w:val="0"/>
        <w:color w:val="000000"/>
        <w:sz w:val="21"/>
        <w:szCs w:val="21"/>
        <w:u w:val="none" w:color="000000"/>
        <w:shd w:val="clear" w:color="auto" w:fill="auto"/>
        <w:vertAlign w:val="baseline"/>
      </w:rPr>
    </w:lvl>
  </w:abstractNum>
  <w:abstractNum w:abstractNumId="3">
    <w:nsid w:val="026C18F8"/>
    <w:multiLevelType w:val="multilevel"/>
    <w:tmpl w:val="026C18F8"/>
    <w:lvl w:ilvl="0" w:tentative="0">
      <w:start w:val="1"/>
      <w:numFmt w:val="decimal"/>
      <w:lvlText w:val="（%1）"/>
      <w:lvlJc w:val="left"/>
      <w:pPr>
        <w:ind w:left="203"/>
      </w:pPr>
      <w:rPr>
        <w:rFonts w:ascii="宋体" w:hAnsi="宋体" w:eastAsia="宋体" w:cs="宋体"/>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500"/>
      </w:pPr>
      <w:rPr>
        <w:rFonts w:ascii="宋体" w:hAnsi="宋体" w:eastAsia="宋体" w:cs="宋体"/>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2220"/>
      </w:pPr>
      <w:rPr>
        <w:rFonts w:ascii="宋体" w:hAnsi="宋体" w:eastAsia="宋体" w:cs="宋体"/>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940"/>
      </w:pPr>
      <w:rPr>
        <w:rFonts w:ascii="宋体" w:hAnsi="宋体" w:eastAsia="宋体" w:cs="宋体"/>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660"/>
      </w:pPr>
      <w:rPr>
        <w:rFonts w:ascii="宋体" w:hAnsi="宋体" w:eastAsia="宋体" w:cs="宋体"/>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4380"/>
      </w:pPr>
      <w:rPr>
        <w:rFonts w:ascii="宋体" w:hAnsi="宋体" w:eastAsia="宋体" w:cs="宋体"/>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5100"/>
      </w:pPr>
      <w:rPr>
        <w:rFonts w:ascii="宋体" w:hAnsi="宋体" w:eastAsia="宋体" w:cs="宋体"/>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820"/>
      </w:pPr>
      <w:rPr>
        <w:rFonts w:ascii="宋体" w:hAnsi="宋体" w:eastAsia="宋体" w:cs="宋体"/>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540"/>
      </w:pPr>
      <w:rPr>
        <w:rFonts w:ascii="宋体" w:hAnsi="宋体" w:eastAsia="宋体" w:cs="宋体"/>
        <w:b w:val="0"/>
        <w:i w:val="0"/>
        <w:strike w:val="0"/>
        <w:dstrike w:val="0"/>
        <w:color w:val="000000"/>
        <w:sz w:val="21"/>
        <w:szCs w:val="21"/>
        <w:u w:val="none" w:color="000000"/>
        <w:shd w:val="clear" w:color="auto" w:fill="auto"/>
        <w:vertAlign w:val="baseline"/>
      </w:rPr>
    </w:lvl>
  </w:abstractNum>
  <w:abstractNum w:abstractNumId="4">
    <w:nsid w:val="082E74BB"/>
    <w:multiLevelType w:val="multilevel"/>
    <w:tmpl w:val="082E74BB"/>
    <w:lvl w:ilvl="0" w:tentative="0">
      <w:start w:val="1"/>
      <w:numFmt w:val="decimal"/>
      <w:lvlText w:val="（%1）"/>
      <w:lvlJc w:val="left"/>
      <w:pPr>
        <w:ind w:left="943"/>
      </w:pPr>
      <w:rPr>
        <w:rFonts w:ascii="宋体" w:hAnsi="宋体" w:eastAsia="宋体" w:cs="宋体"/>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500"/>
      </w:pPr>
      <w:rPr>
        <w:rFonts w:ascii="宋体" w:hAnsi="宋体" w:eastAsia="宋体" w:cs="宋体"/>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2220"/>
      </w:pPr>
      <w:rPr>
        <w:rFonts w:ascii="宋体" w:hAnsi="宋体" w:eastAsia="宋体" w:cs="宋体"/>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940"/>
      </w:pPr>
      <w:rPr>
        <w:rFonts w:ascii="宋体" w:hAnsi="宋体" w:eastAsia="宋体" w:cs="宋体"/>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660"/>
      </w:pPr>
      <w:rPr>
        <w:rFonts w:ascii="宋体" w:hAnsi="宋体" w:eastAsia="宋体" w:cs="宋体"/>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4380"/>
      </w:pPr>
      <w:rPr>
        <w:rFonts w:ascii="宋体" w:hAnsi="宋体" w:eastAsia="宋体" w:cs="宋体"/>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5100"/>
      </w:pPr>
      <w:rPr>
        <w:rFonts w:ascii="宋体" w:hAnsi="宋体" w:eastAsia="宋体" w:cs="宋体"/>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820"/>
      </w:pPr>
      <w:rPr>
        <w:rFonts w:ascii="宋体" w:hAnsi="宋体" w:eastAsia="宋体" w:cs="宋体"/>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540"/>
      </w:pPr>
      <w:rPr>
        <w:rFonts w:ascii="宋体" w:hAnsi="宋体" w:eastAsia="宋体" w:cs="宋体"/>
        <w:b w:val="0"/>
        <w:i w:val="0"/>
        <w:strike w:val="0"/>
        <w:dstrike w:val="0"/>
        <w:color w:val="000000"/>
        <w:sz w:val="21"/>
        <w:szCs w:val="21"/>
        <w:u w:val="none" w:color="000000"/>
        <w:shd w:val="clear" w:color="auto" w:fill="auto"/>
        <w:vertAlign w:val="baseline"/>
      </w:rPr>
    </w:lvl>
  </w:abstractNum>
  <w:abstractNum w:abstractNumId="5">
    <w:nsid w:val="08723360"/>
    <w:multiLevelType w:val="multilevel"/>
    <w:tmpl w:val="08723360"/>
    <w:lvl w:ilvl="0" w:tentative="0">
      <w:start w:val="1"/>
      <w:numFmt w:val="decimal"/>
      <w:lvlText w:val="（%1）"/>
      <w:lvlJc w:val="left"/>
      <w:pPr>
        <w:ind w:left="209"/>
      </w:pPr>
      <w:rPr>
        <w:rFonts w:ascii="宋体" w:hAnsi="宋体" w:eastAsia="宋体" w:cs="宋体"/>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289"/>
      </w:pPr>
      <w:rPr>
        <w:rFonts w:ascii="宋体" w:hAnsi="宋体" w:eastAsia="宋体" w:cs="宋体"/>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2009"/>
      </w:pPr>
      <w:rPr>
        <w:rFonts w:ascii="宋体" w:hAnsi="宋体" w:eastAsia="宋体" w:cs="宋体"/>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729"/>
      </w:pPr>
      <w:rPr>
        <w:rFonts w:ascii="宋体" w:hAnsi="宋体" w:eastAsia="宋体" w:cs="宋体"/>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449"/>
      </w:pPr>
      <w:rPr>
        <w:rFonts w:ascii="宋体" w:hAnsi="宋体" w:eastAsia="宋体" w:cs="宋体"/>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4169"/>
      </w:pPr>
      <w:rPr>
        <w:rFonts w:ascii="宋体" w:hAnsi="宋体" w:eastAsia="宋体" w:cs="宋体"/>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4889"/>
      </w:pPr>
      <w:rPr>
        <w:rFonts w:ascii="宋体" w:hAnsi="宋体" w:eastAsia="宋体" w:cs="宋体"/>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609"/>
      </w:pPr>
      <w:rPr>
        <w:rFonts w:ascii="宋体" w:hAnsi="宋体" w:eastAsia="宋体" w:cs="宋体"/>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329"/>
      </w:pPr>
      <w:rPr>
        <w:rFonts w:ascii="宋体" w:hAnsi="宋体" w:eastAsia="宋体" w:cs="宋体"/>
        <w:b w:val="0"/>
        <w:i w:val="0"/>
        <w:strike w:val="0"/>
        <w:dstrike w:val="0"/>
        <w:color w:val="000000"/>
        <w:sz w:val="21"/>
        <w:szCs w:val="21"/>
        <w:u w:val="none" w:color="000000"/>
        <w:shd w:val="clear" w:color="auto" w:fill="auto"/>
        <w:vertAlign w:val="baseline"/>
      </w:rPr>
    </w:lvl>
  </w:abstractNum>
  <w:abstractNum w:abstractNumId="6">
    <w:nsid w:val="0E2A23AA"/>
    <w:multiLevelType w:val="multilevel"/>
    <w:tmpl w:val="0E2A23AA"/>
    <w:lvl w:ilvl="0" w:tentative="0">
      <w:start w:val="3"/>
      <w:numFmt w:val="decimal"/>
      <w:lvlText w:val="（%1）"/>
      <w:lvlJc w:val="left"/>
      <w:pPr>
        <w:ind w:left="943"/>
      </w:pPr>
      <w:rPr>
        <w:rFonts w:ascii="宋体" w:hAnsi="宋体" w:eastAsia="宋体" w:cs="宋体"/>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500"/>
      </w:pPr>
      <w:rPr>
        <w:rFonts w:ascii="宋体" w:hAnsi="宋体" w:eastAsia="宋体" w:cs="宋体"/>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2220"/>
      </w:pPr>
      <w:rPr>
        <w:rFonts w:ascii="宋体" w:hAnsi="宋体" w:eastAsia="宋体" w:cs="宋体"/>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940"/>
      </w:pPr>
      <w:rPr>
        <w:rFonts w:ascii="宋体" w:hAnsi="宋体" w:eastAsia="宋体" w:cs="宋体"/>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660"/>
      </w:pPr>
      <w:rPr>
        <w:rFonts w:ascii="宋体" w:hAnsi="宋体" w:eastAsia="宋体" w:cs="宋体"/>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4380"/>
      </w:pPr>
      <w:rPr>
        <w:rFonts w:ascii="宋体" w:hAnsi="宋体" w:eastAsia="宋体" w:cs="宋体"/>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5100"/>
      </w:pPr>
      <w:rPr>
        <w:rFonts w:ascii="宋体" w:hAnsi="宋体" w:eastAsia="宋体" w:cs="宋体"/>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820"/>
      </w:pPr>
      <w:rPr>
        <w:rFonts w:ascii="宋体" w:hAnsi="宋体" w:eastAsia="宋体" w:cs="宋体"/>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540"/>
      </w:pPr>
      <w:rPr>
        <w:rFonts w:ascii="宋体" w:hAnsi="宋体" w:eastAsia="宋体" w:cs="宋体"/>
        <w:b w:val="0"/>
        <w:i w:val="0"/>
        <w:strike w:val="0"/>
        <w:dstrike w:val="0"/>
        <w:color w:val="000000"/>
        <w:sz w:val="21"/>
        <w:szCs w:val="21"/>
        <w:u w:val="none" w:color="000000"/>
        <w:shd w:val="clear" w:color="auto" w:fill="auto"/>
        <w:vertAlign w:val="baseline"/>
      </w:rPr>
    </w:lvl>
  </w:abstractNum>
  <w:abstractNum w:abstractNumId="7">
    <w:nsid w:val="229A1E5D"/>
    <w:multiLevelType w:val="multilevel"/>
    <w:tmpl w:val="229A1E5D"/>
    <w:lvl w:ilvl="0" w:tentative="0">
      <w:start w:val="1"/>
      <w:numFmt w:val="decimal"/>
      <w:lvlText w:val="（%1）"/>
      <w:lvlJc w:val="left"/>
      <w:pPr>
        <w:ind w:left="943"/>
      </w:pPr>
      <w:rPr>
        <w:rFonts w:ascii="宋体" w:hAnsi="宋体" w:eastAsia="宋体" w:cs="宋体"/>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500"/>
      </w:pPr>
      <w:rPr>
        <w:rFonts w:ascii="宋体" w:hAnsi="宋体" w:eastAsia="宋体" w:cs="宋体"/>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2220"/>
      </w:pPr>
      <w:rPr>
        <w:rFonts w:ascii="宋体" w:hAnsi="宋体" w:eastAsia="宋体" w:cs="宋体"/>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940"/>
      </w:pPr>
      <w:rPr>
        <w:rFonts w:ascii="宋体" w:hAnsi="宋体" w:eastAsia="宋体" w:cs="宋体"/>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660"/>
      </w:pPr>
      <w:rPr>
        <w:rFonts w:ascii="宋体" w:hAnsi="宋体" w:eastAsia="宋体" w:cs="宋体"/>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4380"/>
      </w:pPr>
      <w:rPr>
        <w:rFonts w:ascii="宋体" w:hAnsi="宋体" w:eastAsia="宋体" w:cs="宋体"/>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5100"/>
      </w:pPr>
      <w:rPr>
        <w:rFonts w:ascii="宋体" w:hAnsi="宋体" w:eastAsia="宋体" w:cs="宋体"/>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820"/>
      </w:pPr>
      <w:rPr>
        <w:rFonts w:ascii="宋体" w:hAnsi="宋体" w:eastAsia="宋体" w:cs="宋体"/>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540"/>
      </w:pPr>
      <w:rPr>
        <w:rFonts w:ascii="宋体" w:hAnsi="宋体" w:eastAsia="宋体" w:cs="宋体"/>
        <w:b w:val="0"/>
        <w:i w:val="0"/>
        <w:strike w:val="0"/>
        <w:dstrike w:val="0"/>
        <w:color w:val="000000"/>
        <w:sz w:val="21"/>
        <w:szCs w:val="21"/>
        <w:u w:val="none" w:color="000000"/>
        <w:shd w:val="clear" w:color="auto" w:fill="auto"/>
        <w:vertAlign w:val="baseline"/>
      </w:rPr>
    </w:lvl>
  </w:abstractNum>
  <w:abstractNum w:abstractNumId="8">
    <w:nsid w:val="313751DE"/>
    <w:multiLevelType w:val="multilevel"/>
    <w:tmpl w:val="313751DE"/>
    <w:lvl w:ilvl="0" w:tentative="0">
      <w:start w:val="1"/>
      <w:numFmt w:val="decimal"/>
      <w:lvlText w:val="（%1）"/>
      <w:lvlJc w:val="left"/>
      <w:pPr>
        <w:ind w:left="0"/>
      </w:pPr>
      <w:rPr>
        <w:rFonts w:ascii="宋体" w:hAnsi="宋体" w:eastAsia="宋体" w:cs="宋体"/>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394"/>
      </w:pPr>
      <w:rPr>
        <w:rFonts w:ascii="宋体" w:hAnsi="宋体" w:eastAsia="宋体" w:cs="宋体"/>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2114"/>
      </w:pPr>
      <w:rPr>
        <w:rFonts w:ascii="宋体" w:hAnsi="宋体" w:eastAsia="宋体" w:cs="宋体"/>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834"/>
      </w:pPr>
      <w:rPr>
        <w:rFonts w:ascii="宋体" w:hAnsi="宋体" w:eastAsia="宋体" w:cs="宋体"/>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554"/>
      </w:pPr>
      <w:rPr>
        <w:rFonts w:ascii="宋体" w:hAnsi="宋体" w:eastAsia="宋体" w:cs="宋体"/>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4274"/>
      </w:pPr>
      <w:rPr>
        <w:rFonts w:ascii="宋体" w:hAnsi="宋体" w:eastAsia="宋体" w:cs="宋体"/>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4994"/>
      </w:pPr>
      <w:rPr>
        <w:rFonts w:ascii="宋体" w:hAnsi="宋体" w:eastAsia="宋体" w:cs="宋体"/>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714"/>
      </w:pPr>
      <w:rPr>
        <w:rFonts w:ascii="宋体" w:hAnsi="宋体" w:eastAsia="宋体" w:cs="宋体"/>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434"/>
      </w:pPr>
      <w:rPr>
        <w:rFonts w:ascii="宋体" w:hAnsi="宋体" w:eastAsia="宋体" w:cs="宋体"/>
        <w:b w:val="0"/>
        <w:i w:val="0"/>
        <w:strike w:val="0"/>
        <w:dstrike w:val="0"/>
        <w:color w:val="000000"/>
        <w:sz w:val="21"/>
        <w:szCs w:val="21"/>
        <w:u w:val="none" w:color="000000"/>
        <w:shd w:val="clear" w:color="auto" w:fill="auto"/>
        <w:vertAlign w:val="baseline"/>
      </w:rPr>
    </w:lvl>
  </w:abstractNum>
  <w:abstractNum w:abstractNumId="9">
    <w:nsid w:val="3860316D"/>
    <w:multiLevelType w:val="singleLevel"/>
    <w:tmpl w:val="3860316D"/>
    <w:lvl w:ilvl="0" w:tentative="0">
      <w:start w:val="1"/>
      <w:numFmt w:val="decimal"/>
      <w:suff w:val="nothing"/>
      <w:lvlText w:val="（%1）"/>
      <w:lvlJc w:val="left"/>
    </w:lvl>
  </w:abstractNum>
  <w:abstractNum w:abstractNumId="10">
    <w:nsid w:val="38956A08"/>
    <w:multiLevelType w:val="multilevel"/>
    <w:tmpl w:val="38956A08"/>
    <w:lvl w:ilvl="0" w:tentative="0">
      <w:start w:val="1"/>
      <w:numFmt w:val="decimal"/>
      <w:lvlText w:val="%1."/>
      <w:lvlJc w:val="left"/>
      <w:pPr>
        <w:ind w:left="420"/>
      </w:pPr>
      <w:rPr>
        <w:rFonts w:ascii="Times New Roman" w:hAnsi="Times New Roman" w:eastAsia="Times New Roman" w:cs="Times New Roman"/>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500"/>
      </w:pPr>
      <w:rPr>
        <w:rFonts w:ascii="Times New Roman" w:hAnsi="Times New Roman" w:eastAsia="Times New Roman" w:cs="Times New Roman"/>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2220"/>
      </w:pPr>
      <w:rPr>
        <w:rFonts w:ascii="Times New Roman" w:hAnsi="Times New Roman" w:eastAsia="Times New Roman" w:cs="Times New Roman"/>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940"/>
      </w:pPr>
      <w:rPr>
        <w:rFonts w:ascii="Times New Roman" w:hAnsi="Times New Roman" w:eastAsia="Times New Roman" w:cs="Times New Roman"/>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660"/>
      </w:pPr>
      <w:rPr>
        <w:rFonts w:ascii="Times New Roman" w:hAnsi="Times New Roman" w:eastAsia="Times New Roman" w:cs="Times New Roman"/>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4380"/>
      </w:pPr>
      <w:rPr>
        <w:rFonts w:ascii="Times New Roman" w:hAnsi="Times New Roman" w:eastAsia="Times New Roman" w:cs="Times New Roman"/>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5100"/>
      </w:pPr>
      <w:rPr>
        <w:rFonts w:ascii="Times New Roman" w:hAnsi="Times New Roman" w:eastAsia="Times New Roman" w:cs="Times New Roman"/>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820"/>
      </w:pPr>
      <w:rPr>
        <w:rFonts w:ascii="Times New Roman" w:hAnsi="Times New Roman" w:eastAsia="Times New Roman" w:cs="Times New Roman"/>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540"/>
      </w:pPr>
      <w:rPr>
        <w:rFonts w:ascii="Times New Roman" w:hAnsi="Times New Roman" w:eastAsia="Times New Roman" w:cs="Times New Roman"/>
        <w:b w:val="0"/>
        <w:i w:val="0"/>
        <w:strike w:val="0"/>
        <w:dstrike w:val="0"/>
        <w:color w:val="000000"/>
        <w:sz w:val="21"/>
        <w:szCs w:val="21"/>
        <w:u w:val="none" w:color="000000"/>
        <w:shd w:val="clear" w:color="auto" w:fill="auto"/>
        <w:vertAlign w:val="baseline"/>
      </w:rPr>
    </w:lvl>
  </w:abstractNum>
  <w:abstractNum w:abstractNumId="11">
    <w:nsid w:val="3CF368CA"/>
    <w:multiLevelType w:val="multilevel"/>
    <w:tmpl w:val="3CF368CA"/>
    <w:lvl w:ilvl="0" w:tentative="0">
      <w:start w:val="1"/>
      <w:numFmt w:val="decimal"/>
      <w:lvlText w:val="（%1）"/>
      <w:lvlJc w:val="left"/>
      <w:pPr>
        <w:ind w:left="883"/>
      </w:pPr>
      <w:rPr>
        <w:rFonts w:ascii="宋体" w:hAnsi="宋体" w:eastAsia="宋体" w:cs="宋体"/>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438"/>
      </w:pPr>
      <w:rPr>
        <w:rFonts w:ascii="宋体" w:hAnsi="宋体" w:eastAsia="宋体" w:cs="宋体"/>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2158"/>
      </w:pPr>
      <w:rPr>
        <w:rFonts w:ascii="宋体" w:hAnsi="宋体" w:eastAsia="宋体" w:cs="宋体"/>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878"/>
      </w:pPr>
      <w:rPr>
        <w:rFonts w:ascii="宋体" w:hAnsi="宋体" w:eastAsia="宋体" w:cs="宋体"/>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598"/>
      </w:pPr>
      <w:rPr>
        <w:rFonts w:ascii="宋体" w:hAnsi="宋体" w:eastAsia="宋体" w:cs="宋体"/>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4318"/>
      </w:pPr>
      <w:rPr>
        <w:rFonts w:ascii="宋体" w:hAnsi="宋体" w:eastAsia="宋体" w:cs="宋体"/>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5038"/>
      </w:pPr>
      <w:rPr>
        <w:rFonts w:ascii="宋体" w:hAnsi="宋体" w:eastAsia="宋体" w:cs="宋体"/>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758"/>
      </w:pPr>
      <w:rPr>
        <w:rFonts w:ascii="宋体" w:hAnsi="宋体" w:eastAsia="宋体" w:cs="宋体"/>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478"/>
      </w:pPr>
      <w:rPr>
        <w:rFonts w:ascii="宋体" w:hAnsi="宋体" w:eastAsia="宋体" w:cs="宋体"/>
        <w:b w:val="0"/>
        <w:i w:val="0"/>
        <w:strike w:val="0"/>
        <w:dstrike w:val="0"/>
        <w:color w:val="000000"/>
        <w:sz w:val="21"/>
        <w:szCs w:val="21"/>
        <w:u w:val="none" w:color="000000"/>
        <w:shd w:val="clear" w:color="auto" w:fill="auto"/>
        <w:vertAlign w:val="baseline"/>
      </w:rPr>
    </w:lvl>
  </w:abstractNum>
  <w:abstractNum w:abstractNumId="12">
    <w:nsid w:val="3D76076A"/>
    <w:multiLevelType w:val="multilevel"/>
    <w:tmpl w:val="3D76076A"/>
    <w:lvl w:ilvl="0" w:tentative="0">
      <w:start w:val="1"/>
      <w:numFmt w:val="ideographDigital"/>
      <w:lvlText w:val="（%1）"/>
      <w:lvlJc w:val="left"/>
      <w:pPr>
        <w:ind w:left="1049"/>
      </w:pPr>
      <w:rPr>
        <w:rFonts w:ascii="宋体" w:hAnsi="宋体" w:eastAsia="宋体" w:cs="宋体"/>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500"/>
      </w:pPr>
      <w:rPr>
        <w:rFonts w:ascii="宋体" w:hAnsi="宋体" w:eastAsia="宋体" w:cs="宋体"/>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2220"/>
      </w:pPr>
      <w:rPr>
        <w:rFonts w:ascii="宋体" w:hAnsi="宋体" w:eastAsia="宋体" w:cs="宋体"/>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940"/>
      </w:pPr>
      <w:rPr>
        <w:rFonts w:ascii="宋体" w:hAnsi="宋体" w:eastAsia="宋体" w:cs="宋体"/>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660"/>
      </w:pPr>
      <w:rPr>
        <w:rFonts w:ascii="宋体" w:hAnsi="宋体" w:eastAsia="宋体" w:cs="宋体"/>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4380"/>
      </w:pPr>
      <w:rPr>
        <w:rFonts w:ascii="宋体" w:hAnsi="宋体" w:eastAsia="宋体" w:cs="宋体"/>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5100"/>
      </w:pPr>
      <w:rPr>
        <w:rFonts w:ascii="宋体" w:hAnsi="宋体" w:eastAsia="宋体" w:cs="宋体"/>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820"/>
      </w:pPr>
      <w:rPr>
        <w:rFonts w:ascii="宋体" w:hAnsi="宋体" w:eastAsia="宋体" w:cs="宋体"/>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540"/>
      </w:pPr>
      <w:rPr>
        <w:rFonts w:ascii="宋体" w:hAnsi="宋体" w:eastAsia="宋体" w:cs="宋体"/>
        <w:b w:val="0"/>
        <w:i w:val="0"/>
        <w:strike w:val="0"/>
        <w:dstrike w:val="0"/>
        <w:color w:val="000000"/>
        <w:sz w:val="21"/>
        <w:szCs w:val="21"/>
        <w:u w:val="none" w:color="000000"/>
        <w:shd w:val="clear" w:color="auto" w:fill="auto"/>
        <w:vertAlign w:val="baseline"/>
      </w:rPr>
    </w:lvl>
  </w:abstractNum>
  <w:abstractNum w:abstractNumId="13">
    <w:nsid w:val="43042FBC"/>
    <w:multiLevelType w:val="multilevel"/>
    <w:tmpl w:val="43042FBC"/>
    <w:lvl w:ilvl="0" w:tentative="0">
      <w:start w:val="1"/>
      <w:numFmt w:val="decimal"/>
      <w:lvlText w:val="（%1）"/>
      <w:lvlJc w:val="left"/>
      <w:pPr>
        <w:ind w:left="1049"/>
      </w:pPr>
      <w:rPr>
        <w:rFonts w:ascii="宋体" w:hAnsi="宋体" w:eastAsia="宋体" w:cs="宋体"/>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500"/>
      </w:pPr>
      <w:rPr>
        <w:rFonts w:ascii="宋体" w:hAnsi="宋体" w:eastAsia="宋体" w:cs="宋体"/>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2220"/>
      </w:pPr>
      <w:rPr>
        <w:rFonts w:ascii="宋体" w:hAnsi="宋体" w:eastAsia="宋体" w:cs="宋体"/>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940"/>
      </w:pPr>
      <w:rPr>
        <w:rFonts w:ascii="宋体" w:hAnsi="宋体" w:eastAsia="宋体" w:cs="宋体"/>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660"/>
      </w:pPr>
      <w:rPr>
        <w:rFonts w:ascii="宋体" w:hAnsi="宋体" w:eastAsia="宋体" w:cs="宋体"/>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4380"/>
      </w:pPr>
      <w:rPr>
        <w:rFonts w:ascii="宋体" w:hAnsi="宋体" w:eastAsia="宋体" w:cs="宋体"/>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5100"/>
      </w:pPr>
      <w:rPr>
        <w:rFonts w:ascii="宋体" w:hAnsi="宋体" w:eastAsia="宋体" w:cs="宋体"/>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820"/>
      </w:pPr>
      <w:rPr>
        <w:rFonts w:ascii="宋体" w:hAnsi="宋体" w:eastAsia="宋体" w:cs="宋体"/>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540"/>
      </w:pPr>
      <w:rPr>
        <w:rFonts w:ascii="宋体" w:hAnsi="宋体" w:eastAsia="宋体" w:cs="宋体"/>
        <w:b w:val="0"/>
        <w:i w:val="0"/>
        <w:strike w:val="0"/>
        <w:dstrike w:val="0"/>
        <w:color w:val="000000"/>
        <w:sz w:val="21"/>
        <w:szCs w:val="21"/>
        <w:u w:val="none" w:color="000000"/>
        <w:shd w:val="clear" w:color="auto" w:fill="auto"/>
        <w:vertAlign w:val="baseline"/>
      </w:rPr>
    </w:lvl>
  </w:abstractNum>
  <w:abstractNum w:abstractNumId="14">
    <w:nsid w:val="45063855"/>
    <w:multiLevelType w:val="multilevel"/>
    <w:tmpl w:val="45063855"/>
    <w:lvl w:ilvl="0" w:tentative="0">
      <w:start w:val="1"/>
      <w:numFmt w:val="decimal"/>
      <w:lvlText w:val="（%1）"/>
      <w:lvlJc w:val="left"/>
      <w:pPr>
        <w:ind w:left="943"/>
      </w:pPr>
      <w:rPr>
        <w:rFonts w:ascii="宋体" w:hAnsi="宋体" w:eastAsia="宋体" w:cs="宋体"/>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500"/>
      </w:pPr>
      <w:rPr>
        <w:rFonts w:ascii="宋体" w:hAnsi="宋体" w:eastAsia="宋体" w:cs="宋体"/>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2220"/>
      </w:pPr>
      <w:rPr>
        <w:rFonts w:ascii="宋体" w:hAnsi="宋体" w:eastAsia="宋体" w:cs="宋体"/>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940"/>
      </w:pPr>
      <w:rPr>
        <w:rFonts w:ascii="宋体" w:hAnsi="宋体" w:eastAsia="宋体" w:cs="宋体"/>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660"/>
      </w:pPr>
      <w:rPr>
        <w:rFonts w:ascii="宋体" w:hAnsi="宋体" w:eastAsia="宋体" w:cs="宋体"/>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4380"/>
      </w:pPr>
      <w:rPr>
        <w:rFonts w:ascii="宋体" w:hAnsi="宋体" w:eastAsia="宋体" w:cs="宋体"/>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5100"/>
      </w:pPr>
      <w:rPr>
        <w:rFonts w:ascii="宋体" w:hAnsi="宋体" w:eastAsia="宋体" w:cs="宋体"/>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820"/>
      </w:pPr>
      <w:rPr>
        <w:rFonts w:ascii="宋体" w:hAnsi="宋体" w:eastAsia="宋体" w:cs="宋体"/>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540"/>
      </w:pPr>
      <w:rPr>
        <w:rFonts w:ascii="宋体" w:hAnsi="宋体" w:eastAsia="宋体" w:cs="宋体"/>
        <w:b w:val="0"/>
        <w:i w:val="0"/>
        <w:strike w:val="0"/>
        <w:dstrike w:val="0"/>
        <w:color w:val="000000"/>
        <w:sz w:val="21"/>
        <w:szCs w:val="21"/>
        <w:u w:val="none" w:color="000000"/>
        <w:shd w:val="clear" w:color="auto" w:fill="auto"/>
        <w:vertAlign w:val="baseline"/>
      </w:rPr>
    </w:lvl>
  </w:abstractNum>
  <w:abstractNum w:abstractNumId="15">
    <w:nsid w:val="54225E69"/>
    <w:multiLevelType w:val="multilevel"/>
    <w:tmpl w:val="54225E69"/>
    <w:lvl w:ilvl="0" w:tentative="0">
      <w:start w:val="1"/>
      <w:numFmt w:val="decimal"/>
      <w:lvlText w:val="（%1）"/>
      <w:lvlJc w:val="left"/>
      <w:pPr>
        <w:ind w:left="420"/>
      </w:pPr>
      <w:rPr>
        <w:rFonts w:ascii="宋体" w:hAnsi="宋体" w:eastAsia="宋体" w:cs="宋体"/>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500"/>
      </w:pPr>
      <w:rPr>
        <w:rFonts w:ascii="宋体" w:hAnsi="宋体" w:eastAsia="宋体" w:cs="宋体"/>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2220"/>
      </w:pPr>
      <w:rPr>
        <w:rFonts w:ascii="宋体" w:hAnsi="宋体" w:eastAsia="宋体" w:cs="宋体"/>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940"/>
      </w:pPr>
      <w:rPr>
        <w:rFonts w:ascii="宋体" w:hAnsi="宋体" w:eastAsia="宋体" w:cs="宋体"/>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660"/>
      </w:pPr>
      <w:rPr>
        <w:rFonts w:ascii="宋体" w:hAnsi="宋体" w:eastAsia="宋体" w:cs="宋体"/>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4380"/>
      </w:pPr>
      <w:rPr>
        <w:rFonts w:ascii="宋体" w:hAnsi="宋体" w:eastAsia="宋体" w:cs="宋体"/>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5100"/>
      </w:pPr>
      <w:rPr>
        <w:rFonts w:ascii="宋体" w:hAnsi="宋体" w:eastAsia="宋体" w:cs="宋体"/>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820"/>
      </w:pPr>
      <w:rPr>
        <w:rFonts w:ascii="宋体" w:hAnsi="宋体" w:eastAsia="宋体" w:cs="宋体"/>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540"/>
      </w:pPr>
      <w:rPr>
        <w:rFonts w:ascii="宋体" w:hAnsi="宋体" w:eastAsia="宋体" w:cs="宋体"/>
        <w:b w:val="0"/>
        <w:i w:val="0"/>
        <w:strike w:val="0"/>
        <w:dstrike w:val="0"/>
        <w:color w:val="000000"/>
        <w:sz w:val="21"/>
        <w:szCs w:val="21"/>
        <w:u w:val="none" w:color="000000"/>
        <w:shd w:val="clear" w:color="auto" w:fill="auto"/>
        <w:vertAlign w:val="baseline"/>
      </w:rPr>
    </w:lvl>
  </w:abstractNum>
  <w:num w:numId="1">
    <w:abstractNumId w:val="1"/>
  </w:num>
  <w:num w:numId="2">
    <w:abstractNumId w:val="8"/>
  </w:num>
  <w:num w:numId="3">
    <w:abstractNumId w:val="15"/>
  </w:num>
  <w:num w:numId="4">
    <w:abstractNumId w:val="11"/>
  </w:num>
  <w:num w:numId="5">
    <w:abstractNumId w:val="13"/>
  </w:num>
  <w:num w:numId="6">
    <w:abstractNumId w:val="5"/>
  </w:num>
  <w:num w:numId="7">
    <w:abstractNumId w:val="2"/>
  </w:num>
  <w:num w:numId="8">
    <w:abstractNumId w:val="12"/>
  </w:num>
  <w:num w:numId="9">
    <w:abstractNumId w:val="7"/>
  </w:num>
  <w:num w:numId="10">
    <w:abstractNumId w:val="14"/>
  </w:num>
  <w:num w:numId="11">
    <w:abstractNumId w:val="6"/>
  </w:num>
  <w:num w:numId="12">
    <w:abstractNumId w:val="4"/>
  </w:num>
  <w:num w:numId="13">
    <w:abstractNumId w:val="9"/>
  </w:num>
  <w:num w:numId="14">
    <w:abstractNumId w:val="3"/>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alignBordersAndEdges w:val="1"/>
  <w:bordersDoNotSurroundHeader w:val="0"/>
  <w:bordersDoNotSurroundFooter w:val="0"/>
  <w:hideSpellingErrors/>
  <w:documentProtection w:enforcement="0"/>
  <w:defaultTabStop w:val="42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dhMjViMmU2OWE0MDNmNGJiMWYzNGY4OGFhOWU1NTIifQ=="/>
  </w:docVars>
  <w:rsids>
    <w:rsidRoot w:val="003F7088"/>
    <w:rsid w:val="00000B04"/>
    <w:rsid w:val="00001220"/>
    <w:rsid w:val="00003B2C"/>
    <w:rsid w:val="00005EF7"/>
    <w:rsid w:val="00030F13"/>
    <w:rsid w:val="00031DFA"/>
    <w:rsid w:val="00033275"/>
    <w:rsid w:val="00066035"/>
    <w:rsid w:val="0007784C"/>
    <w:rsid w:val="00082FFC"/>
    <w:rsid w:val="000C0FAB"/>
    <w:rsid w:val="000C29A3"/>
    <w:rsid w:val="000C3758"/>
    <w:rsid w:val="000D47F8"/>
    <w:rsid w:val="000D6D56"/>
    <w:rsid w:val="000E5B8C"/>
    <w:rsid w:val="000F04D6"/>
    <w:rsid w:val="000F3CC3"/>
    <w:rsid w:val="00107325"/>
    <w:rsid w:val="001512EC"/>
    <w:rsid w:val="0016025D"/>
    <w:rsid w:val="001703BC"/>
    <w:rsid w:val="00171E80"/>
    <w:rsid w:val="001964F9"/>
    <w:rsid w:val="001A7D77"/>
    <w:rsid w:val="001D0340"/>
    <w:rsid w:val="001F5A69"/>
    <w:rsid w:val="002006A6"/>
    <w:rsid w:val="00206108"/>
    <w:rsid w:val="002113F6"/>
    <w:rsid w:val="0021256D"/>
    <w:rsid w:val="0021454E"/>
    <w:rsid w:val="0022211A"/>
    <w:rsid w:val="00247A1F"/>
    <w:rsid w:val="00254A05"/>
    <w:rsid w:val="00267A55"/>
    <w:rsid w:val="002721C2"/>
    <w:rsid w:val="00285ECA"/>
    <w:rsid w:val="0029014F"/>
    <w:rsid w:val="002959C8"/>
    <w:rsid w:val="00296178"/>
    <w:rsid w:val="002A6289"/>
    <w:rsid w:val="002B163E"/>
    <w:rsid w:val="002B44A9"/>
    <w:rsid w:val="002B6552"/>
    <w:rsid w:val="002C0022"/>
    <w:rsid w:val="002C0708"/>
    <w:rsid w:val="002E67B7"/>
    <w:rsid w:val="002F016D"/>
    <w:rsid w:val="00301EF5"/>
    <w:rsid w:val="00310B98"/>
    <w:rsid w:val="003113C6"/>
    <w:rsid w:val="00313043"/>
    <w:rsid w:val="00315385"/>
    <w:rsid w:val="00340708"/>
    <w:rsid w:val="00344559"/>
    <w:rsid w:val="00352D29"/>
    <w:rsid w:val="003572B1"/>
    <w:rsid w:val="003853E1"/>
    <w:rsid w:val="00385DE1"/>
    <w:rsid w:val="003A4AFF"/>
    <w:rsid w:val="003C2665"/>
    <w:rsid w:val="003D7D93"/>
    <w:rsid w:val="003E7650"/>
    <w:rsid w:val="003F7088"/>
    <w:rsid w:val="0040576B"/>
    <w:rsid w:val="0042721C"/>
    <w:rsid w:val="00435F09"/>
    <w:rsid w:val="00473616"/>
    <w:rsid w:val="00477C8D"/>
    <w:rsid w:val="004811C4"/>
    <w:rsid w:val="00487404"/>
    <w:rsid w:val="00493CFC"/>
    <w:rsid w:val="00494060"/>
    <w:rsid w:val="004A2DA1"/>
    <w:rsid w:val="004B6C36"/>
    <w:rsid w:val="004D48D5"/>
    <w:rsid w:val="004D5E99"/>
    <w:rsid w:val="004D66A3"/>
    <w:rsid w:val="004E1761"/>
    <w:rsid w:val="004E250D"/>
    <w:rsid w:val="004F019D"/>
    <w:rsid w:val="004F7866"/>
    <w:rsid w:val="00501512"/>
    <w:rsid w:val="00502EAB"/>
    <w:rsid w:val="005261EB"/>
    <w:rsid w:val="00527A41"/>
    <w:rsid w:val="005420A3"/>
    <w:rsid w:val="00546567"/>
    <w:rsid w:val="00553FB6"/>
    <w:rsid w:val="00566789"/>
    <w:rsid w:val="00566CD5"/>
    <w:rsid w:val="00596617"/>
    <w:rsid w:val="005A0633"/>
    <w:rsid w:val="005B2C04"/>
    <w:rsid w:val="005B7C0D"/>
    <w:rsid w:val="005D6972"/>
    <w:rsid w:val="005F739B"/>
    <w:rsid w:val="006026E6"/>
    <w:rsid w:val="00602A87"/>
    <w:rsid w:val="006251FA"/>
    <w:rsid w:val="00634068"/>
    <w:rsid w:val="00641EBA"/>
    <w:rsid w:val="00644914"/>
    <w:rsid w:val="00645AC1"/>
    <w:rsid w:val="006818A5"/>
    <w:rsid w:val="00685039"/>
    <w:rsid w:val="0069597B"/>
    <w:rsid w:val="00696A10"/>
    <w:rsid w:val="006972AD"/>
    <w:rsid w:val="006A0AE7"/>
    <w:rsid w:val="006A4FA2"/>
    <w:rsid w:val="006B2F63"/>
    <w:rsid w:val="006B7EE3"/>
    <w:rsid w:val="006C25AB"/>
    <w:rsid w:val="006C6B2E"/>
    <w:rsid w:val="006F0000"/>
    <w:rsid w:val="007066A9"/>
    <w:rsid w:val="00711226"/>
    <w:rsid w:val="00716430"/>
    <w:rsid w:val="007249F5"/>
    <w:rsid w:val="00734C96"/>
    <w:rsid w:val="007441F2"/>
    <w:rsid w:val="00750CEA"/>
    <w:rsid w:val="00755157"/>
    <w:rsid w:val="00773B49"/>
    <w:rsid w:val="00773B8D"/>
    <w:rsid w:val="007919E8"/>
    <w:rsid w:val="007D07B3"/>
    <w:rsid w:val="007F0FE0"/>
    <w:rsid w:val="00801155"/>
    <w:rsid w:val="00803B08"/>
    <w:rsid w:val="00806713"/>
    <w:rsid w:val="00807F53"/>
    <w:rsid w:val="00810A80"/>
    <w:rsid w:val="00812297"/>
    <w:rsid w:val="008211C6"/>
    <w:rsid w:val="0084710C"/>
    <w:rsid w:val="008559E2"/>
    <w:rsid w:val="00870C39"/>
    <w:rsid w:val="008978F4"/>
    <w:rsid w:val="008B7273"/>
    <w:rsid w:val="008C0370"/>
    <w:rsid w:val="008C0533"/>
    <w:rsid w:val="008C074B"/>
    <w:rsid w:val="008C2F7C"/>
    <w:rsid w:val="008D13C1"/>
    <w:rsid w:val="008D1724"/>
    <w:rsid w:val="00901AC1"/>
    <w:rsid w:val="00910DC9"/>
    <w:rsid w:val="00911B69"/>
    <w:rsid w:val="00932B71"/>
    <w:rsid w:val="00962D9F"/>
    <w:rsid w:val="00964789"/>
    <w:rsid w:val="00981571"/>
    <w:rsid w:val="00994EED"/>
    <w:rsid w:val="009B0B93"/>
    <w:rsid w:val="009B5CBD"/>
    <w:rsid w:val="009B7F22"/>
    <w:rsid w:val="009C07B7"/>
    <w:rsid w:val="009C4950"/>
    <w:rsid w:val="009C73F2"/>
    <w:rsid w:val="009E6D75"/>
    <w:rsid w:val="009F1C66"/>
    <w:rsid w:val="00A0445B"/>
    <w:rsid w:val="00A073D4"/>
    <w:rsid w:val="00A07C3C"/>
    <w:rsid w:val="00A35608"/>
    <w:rsid w:val="00A50F00"/>
    <w:rsid w:val="00A606A2"/>
    <w:rsid w:val="00A62977"/>
    <w:rsid w:val="00A75A64"/>
    <w:rsid w:val="00A778B9"/>
    <w:rsid w:val="00A820A8"/>
    <w:rsid w:val="00AB5433"/>
    <w:rsid w:val="00AC457B"/>
    <w:rsid w:val="00B45065"/>
    <w:rsid w:val="00B8767E"/>
    <w:rsid w:val="00B941F6"/>
    <w:rsid w:val="00BB3A2B"/>
    <w:rsid w:val="00BD6990"/>
    <w:rsid w:val="00BE67F9"/>
    <w:rsid w:val="00C02857"/>
    <w:rsid w:val="00C22A51"/>
    <w:rsid w:val="00C54175"/>
    <w:rsid w:val="00C56A16"/>
    <w:rsid w:val="00C713E5"/>
    <w:rsid w:val="00C807FC"/>
    <w:rsid w:val="00CA3860"/>
    <w:rsid w:val="00CA4036"/>
    <w:rsid w:val="00CB69C6"/>
    <w:rsid w:val="00CD1B08"/>
    <w:rsid w:val="00CE6BBC"/>
    <w:rsid w:val="00CE7C80"/>
    <w:rsid w:val="00CF2A0E"/>
    <w:rsid w:val="00CF5BBF"/>
    <w:rsid w:val="00CF6C54"/>
    <w:rsid w:val="00CF75D4"/>
    <w:rsid w:val="00D051A9"/>
    <w:rsid w:val="00D10813"/>
    <w:rsid w:val="00D10D6E"/>
    <w:rsid w:val="00D177E1"/>
    <w:rsid w:val="00D31554"/>
    <w:rsid w:val="00D34083"/>
    <w:rsid w:val="00D64A41"/>
    <w:rsid w:val="00D77DB8"/>
    <w:rsid w:val="00D8477B"/>
    <w:rsid w:val="00D93AAE"/>
    <w:rsid w:val="00D94304"/>
    <w:rsid w:val="00D9600F"/>
    <w:rsid w:val="00DA7596"/>
    <w:rsid w:val="00DD2B51"/>
    <w:rsid w:val="00DE64D2"/>
    <w:rsid w:val="00DE6FE1"/>
    <w:rsid w:val="00DF4703"/>
    <w:rsid w:val="00E07428"/>
    <w:rsid w:val="00E25360"/>
    <w:rsid w:val="00E561FB"/>
    <w:rsid w:val="00E66A40"/>
    <w:rsid w:val="00E75686"/>
    <w:rsid w:val="00E962FD"/>
    <w:rsid w:val="00EB2B5C"/>
    <w:rsid w:val="00EB6597"/>
    <w:rsid w:val="00EC1644"/>
    <w:rsid w:val="00EC2775"/>
    <w:rsid w:val="00EC285E"/>
    <w:rsid w:val="00EC3AE7"/>
    <w:rsid w:val="00ED7EB0"/>
    <w:rsid w:val="00EE5D82"/>
    <w:rsid w:val="00EF5345"/>
    <w:rsid w:val="00F167A4"/>
    <w:rsid w:val="00F24B7C"/>
    <w:rsid w:val="00F2741C"/>
    <w:rsid w:val="00F34C78"/>
    <w:rsid w:val="00F419C4"/>
    <w:rsid w:val="00F453D0"/>
    <w:rsid w:val="00F62711"/>
    <w:rsid w:val="00F6669A"/>
    <w:rsid w:val="00F71DB4"/>
    <w:rsid w:val="00F71F02"/>
    <w:rsid w:val="00F9433F"/>
    <w:rsid w:val="00FA2AEE"/>
    <w:rsid w:val="00FB5259"/>
    <w:rsid w:val="00FB75E0"/>
    <w:rsid w:val="00FC5A6C"/>
    <w:rsid w:val="00FD1F36"/>
    <w:rsid w:val="00FD387F"/>
    <w:rsid w:val="01143047"/>
    <w:rsid w:val="016D4DC8"/>
    <w:rsid w:val="01711703"/>
    <w:rsid w:val="01A2487F"/>
    <w:rsid w:val="01BE119C"/>
    <w:rsid w:val="02105947"/>
    <w:rsid w:val="027106FC"/>
    <w:rsid w:val="029E37E9"/>
    <w:rsid w:val="02B47AC7"/>
    <w:rsid w:val="02D3494D"/>
    <w:rsid w:val="02E6536A"/>
    <w:rsid w:val="03135951"/>
    <w:rsid w:val="041048E4"/>
    <w:rsid w:val="051E26D5"/>
    <w:rsid w:val="05390B44"/>
    <w:rsid w:val="057D12B1"/>
    <w:rsid w:val="05BD04E6"/>
    <w:rsid w:val="05ED22C3"/>
    <w:rsid w:val="06071150"/>
    <w:rsid w:val="06485459"/>
    <w:rsid w:val="0700061A"/>
    <w:rsid w:val="072502A3"/>
    <w:rsid w:val="07263349"/>
    <w:rsid w:val="08113230"/>
    <w:rsid w:val="08CA3F89"/>
    <w:rsid w:val="095B043E"/>
    <w:rsid w:val="095E10C9"/>
    <w:rsid w:val="09A75120"/>
    <w:rsid w:val="0A1F7DA3"/>
    <w:rsid w:val="0A4219C9"/>
    <w:rsid w:val="0A7B0BDE"/>
    <w:rsid w:val="0AA31834"/>
    <w:rsid w:val="0AF23347"/>
    <w:rsid w:val="0AFC2E07"/>
    <w:rsid w:val="0B8F7813"/>
    <w:rsid w:val="0BFF73B1"/>
    <w:rsid w:val="0C6653B4"/>
    <w:rsid w:val="0C872FB5"/>
    <w:rsid w:val="0CDC5880"/>
    <w:rsid w:val="0D0A5CED"/>
    <w:rsid w:val="0D587EE1"/>
    <w:rsid w:val="0DED61D9"/>
    <w:rsid w:val="0DF42E34"/>
    <w:rsid w:val="0DFF14F5"/>
    <w:rsid w:val="0E544723"/>
    <w:rsid w:val="0EB1425E"/>
    <w:rsid w:val="0EDD7A8C"/>
    <w:rsid w:val="0F0C56E0"/>
    <w:rsid w:val="10471788"/>
    <w:rsid w:val="104E7259"/>
    <w:rsid w:val="10DD5F81"/>
    <w:rsid w:val="10ED6A91"/>
    <w:rsid w:val="10EF07A0"/>
    <w:rsid w:val="10F6772E"/>
    <w:rsid w:val="113E3323"/>
    <w:rsid w:val="11CF5DBB"/>
    <w:rsid w:val="12C40CE7"/>
    <w:rsid w:val="12EA21B9"/>
    <w:rsid w:val="12F64B49"/>
    <w:rsid w:val="12FF671F"/>
    <w:rsid w:val="13365DA9"/>
    <w:rsid w:val="13837247"/>
    <w:rsid w:val="13A5603F"/>
    <w:rsid w:val="13F51B10"/>
    <w:rsid w:val="140A03CE"/>
    <w:rsid w:val="14415D9D"/>
    <w:rsid w:val="145B20E5"/>
    <w:rsid w:val="14713EC5"/>
    <w:rsid w:val="14A91BCC"/>
    <w:rsid w:val="14BF2F75"/>
    <w:rsid w:val="14D60EBC"/>
    <w:rsid w:val="15070CEE"/>
    <w:rsid w:val="1582349B"/>
    <w:rsid w:val="15A5226C"/>
    <w:rsid w:val="16BF5960"/>
    <w:rsid w:val="17022F94"/>
    <w:rsid w:val="176D3881"/>
    <w:rsid w:val="18262ABD"/>
    <w:rsid w:val="183758AF"/>
    <w:rsid w:val="190477AC"/>
    <w:rsid w:val="1B5E3F82"/>
    <w:rsid w:val="1B974593"/>
    <w:rsid w:val="1C1A6071"/>
    <w:rsid w:val="1C911370"/>
    <w:rsid w:val="1DAA2747"/>
    <w:rsid w:val="1DB563C5"/>
    <w:rsid w:val="1E171B21"/>
    <w:rsid w:val="1E266019"/>
    <w:rsid w:val="1E4C2D82"/>
    <w:rsid w:val="1E871F52"/>
    <w:rsid w:val="1E8B435B"/>
    <w:rsid w:val="1EFE2DC5"/>
    <w:rsid w:val="1F1B3D43"/>
    <w:rsid w:val="1F5E2470"/>
    <w:rsid w:val="1F654AC2"/>
    <w:rsid w:val="1FDB7B38"/>
    <w:rsid w:val="210F311C"/>
    <w:rsid w:val="2127044D"/>
    <w:rsid w:val="21AF459B"/>
    <w:rsid w:val="21F5736A"/>
    <w:rsid w:val="22213773"/>
    <w:rsid w:val="22AB609D"/>
    <w:rsid w:val="23232185"/>
    <w:rsid w:val="237D50CD"/>
    <w:rsid w:val="23D076E3"/>
    <w:rsid w:val="23E90CDC"/>
    <w:rsid w:val="23F23A9D"/>
    <w:rsid w:val="240751EF"/>
    <w:rsid w:val="24291D85"/>
    <w:rsid w:val="247E1D66"/>
    <w:rsid w:val="24990D3C"/>
    <w:rsid w:val="24A609F9"/>
    <w:rsid w:val="24CB1861"/>
    <w:rsid w:val="25FA58C9"/>
    <w:rsid w:val="26026C59"/>
    <w:rsid w:val="26050A17"/>
    <w:rsid w:val="26231E40"/>
    <w:rsid w:val="26302E00"/>
    <w:rsid w:val="266C43ED"/>
    <w:rsid w:val="26E73F9C"/>
    <w:rsid w:val="27676FC1"/>
    <w:rsid w:val="277925B9"/>
    <w:rsid w:val="27942848"/>
    <w:rsid w:val="27B54E8F"/>
    <w:rsid w:val="27B75DF6"/>
    <w:rsid w:val="27E7771D"/>
    <w:rsid w:val="28A13D14"/>
    <w:rsid w:val="28C729DA"/>
    <w:rsid w:val="2908742A"/>
    <w:rsid w:val="29116891"/>
    <w:rsid w:val="291B69FE"/>
    <w:rsid w:val="29736B09"/>
    <w:rsid w:val="29B70184"/>
    <w:rsid w:val="29CB4828"/>
    <w:rsid w:val="29CB665D"/>
    <w:rsid w:val="2A0519EF"/>
    <w:rsid w:val="2AA64FC6"/>
    <w:rsid w:val="2AD611DD"/>
    <w:rsid w:val="2AEA6628"/>
    <w:rsid w:val="2B724EA0"/>
    <w:rsid w:val="2B8D1521"/>
    <w:rsid w:val="2BB03A52"/>
    <w:rsid w:val="2C1C628F"/>
    <w:rsid w:val="2C7F079A"/>
    <w:rsid w:val="2CF8531B"/>
    <w:rsid w:val="2D537245"/>
    <w:rsid w:val="2D755A25"/>
    <w:rsid w:val="2D9272FC"/>
    <w:rsid w:val="2DC7487E"/>
    <w:rsid w:val="2DFD5F22"/>
    <w:rsid w:val="2E1C4ECE"/>
    <w:rsid w:val="2EE45755"/>
    <w:rsid w:val="2F421F99"/>
    <w:rsid w:val="2F6A09FC"/>
    <w:rsid w:val="2F7F20D8"/>
    <w:rsid w:val="2FAC2B3B"/>
    <w:rsid w:val="2FD9197A"/>
    <w:rsid w:val="2FEC6F0B"/>
    <w:rsid w:val="30C601C6"/>
    <w:rsid w:val="31405D25"/>
    <w:rsid w:val="314805C5"/>
    <w:rsid w:val="31C733DB"/>
    <w:rsid w:val="320B34F7"/>
    <w:rsid w:val="321401A9"/>
    <w:rsid w:val="32CB02E3"/>
    <w:rsid w:val="32F01E9D"/>
    <w:rsid w:val="3362258A"/>
    <w:rsid w:val="338D1B4D"/>
    <w:rsid w:val="33AE1BC7"/>
    <w:rsid w:val="33DF520F"/>
    <w:rsid w:val="34677B38"/>
    <w:rsid w:val="34A7604D"/>
    <w:rsid w:val="34D34890"/>
    <w:rsid w:val="34E32973"/>
    <w:rsid w:val="359C0B77"/>
    <w:rsid w:val="362F1880"/>
    <w:rsid w:val="367C1829"/>
    <w:rsid w:val="36B560B0"/>
    <w:rsid w:val="391277F3"/>
    <w:rsid w:val="394D075C"/>
    <w:rsid w:val="397E0BDD"/>
    <w:rsid w:val="398353C5"/>
    <w:rsid w:val="39D2275E"/>
    <w:rsid w:val="3AC23EF0"/>
    <w:rsid w:val="3AC42DA9"/>
    <w:rsid w:val="3AC65D90"/>
    <w:rsid w:val="3B5405E7"/>
    <w:rsid w:val="3B7243C6"/>
    <w:rsid w:val="3C4A3587"/>
    <w:rsid w:val="3CDC220A"/>
    <w:rsid w:val="3DB963AA"/>
    <w:rsid w:val="3DC11816"/>
    <w:rsid w:val="3E8C2390"/>
    <w:rsid w:val="3ED65FC0"/>
    <w:rsid w:val="3F06180D"/>
    <w:rsid w:val="3F0720B8"/>
    <w:rsid w:val="3F3F27A0"/>
    <w:rsid w:val="3F444E78"/>
    <w:rsid w:val="3F734683"/>
    <w:rsid w:val="3F910B00"/>
    <w:rsid w:val="3FC052FA"/>
    <w:rsid w:val="405833B0"/>
    <w:rsid w:val="40AB0603"/>
    <w:rsid w:val="40B7508E"/>
    <w:rsid w:val="40E6702D"/>
    <w:rsid w:val="40F62A17"/>
    <w:rsid w:val="40F77BDE"/>
    <w:rsid w:val="411B0710"/>
    <w:rsid w:val="41640257"/>
    <w:rsid w:val="41982EF1"/>
    <w:rsid w:val="41C657EC"/>
    <w:rsid w:val="41C80FCB"/>
    <w:rsid w:val="4296662B"/>
    <w:rsid w:val="43466431"/>
    <w:rsid w:val="436566D6"/>
    <w:rsid w:val="43857413"/>
    <w:rsid w:val="446D4197"/>
    <w:rsid w:val="44972A33"/>
    <w:rsid w:val="44D4730C"/>
    <w:rsid w:val="44D65E63"/>
    <w:rsid w:val="44E42E14"/>
    <w:rsid w:val="45B22CD8"/>
    <w:rsid w:val="47AB2066"/>
    <w:rsid w:val="47F83410"/>
    <w:rsid w:val="483F3FDF"/>
    <w:rsid w:val="48496DC8"/>
    <w:rsid w:val="48833616"/>
    <w:rsid w:val="488F0B42"/>
    <w:rsid w:val="48DA79E6"/>
    <w:rsid w:val="48E45021"/>
    <w:rsid w:val="497D37E3"/>
    <w:rsid w:val="498C3E72"/>
    <w:rsid w:val="4B6A08B5"/>
    <w:rsid w:val="4B7D72F4"/>
    <w:rsid w:val="4B8A44E6"/>
    <w:rsid w:val="4BC27C67"/>
    <w:rsid w:val="4BF92C51"/>
    <w:rsid w:val="4C1A5531"/>
    <w:rsid w:val="4CE72C18"/>
    <w:rsid w:val="4D300DBC"/>
    <w:rsid w:val="4E3D4CEE"/>
    <w:rsid w:val="4E453F07"/>
    <w:rsid w:val="4ED10E56"/>
    <w:rsid w:val="4EDD3F59"/>
    <w:rsid w:val="4F5F15C3"/>
    <w:rsid w:val="4F71300E"/>
    <w:rsid w:val="4F9E61E5"/>
    <w:rsid w:val="4FA0764B"/>
    <w:rsid w:val="50420FDA"/>
    <w:rsid w:val="50844964"/>
    <w:rsid w:val="509815D8"/>
    <w:rsid w:val="50E40FEF"/>
    <w:rsid w:val="51085200"/>
    <w:rsid w:val="51406FAB"/>
    <w:rsid w:val="51E321DE"/>
    <w:rsid w:val="52E748A0"/>
    <w:rsid w:val="52F00B44"/>
    <w:rsid w:val="53013110"/>
    <w:rsid w:val="530A50FB"/>
    <w:rsid w:val="531E3BBB"/>
    <w:rsid w:val="53375303"/>
    <w:rsid w:val="5376735B"/>
    <w:rsid w:val="53BE302D"/>
    <w:rsid w:val="541D69AB"/>
    <w:rsid w:val="54333AC1"/>
    <w:rsid w:val="547558B6"/>
    <w:rsid w:val="557430F6"/>
    <w:rsid w:val="55BD058B"/>
    <w:rsid w:val="55CF5D2D"/>
    <w:rsid w:val="56085635"/>
    <w:rsid w:val="56A41407"/>
    <w:rsid w:val="56CD67B3"/>
    <w:rsid w:val="56F53F74"/>
    <w:rsid w:val="57356EDC"/>
    <w:rsid w:val="573A160B"/>
    <w:rsid w:val="576912F7"/>
    <w:rsid w:val="581B57CD"/>
    <w:rsid w:val="58381B98"/>
    <w:rsid w:val="58936DBA"/>
    <w:rsid w:val="58A06B01"/>
    <w:rsid w:val="5972359B"/>
    <w:rsid w:val="59795EFE"/>
    <w:rsid w:val="5987256A"/>
    <w:rsid w:val="59C22EEF"/>
    <w:rsid w:val="59FE530A"/>
    <w:rsid w:val="5A130F6B"/>
    <w:rsid w:val="5A2D1440"/>
    <w:rsid w:val="5A481EA0"/>
    <w:rsid w:val="5A7136D4"/>
    <w:rsid w:val="5A9F7702"/>
    <w:rsid w:val="5ACC61CA"/>
    <w:rsid w:val="5AED7AF9"/>
    <w:rsid w:val="5B3F2B8C"/>
    <w:rsid w:val="5B474F35"/>
    <w:rsid w:val="5BA2541D"/>
    <w:rsid w:val="5BB44B21"/>
    <w:rsid w:val="5BD86196"/>
    <w:rsid w:val="5C055243"/>
    <w:rsid w:val="5C1117AC"/>
    <w:rsid w:val="5C554F98"/>
    <w:rsid w:val="5C560680"/>
    <w:rsid w:val="5C9348AA"/>
    <w:rsid w:val="5CAA363C"/>
    <w:rsid w:val="5CB8792D"/>
    <w:rsid w:val="5CBB1FDB"/>
    <w:rsid w:val="5D163299"/>
    <w:rsid w:val="5D9D61F6"/>
    <w:rsid w:val="5DA95900"/>
    <w:rsid w:val="5DAB0DD7"/>
    <w:rsid w:val="5DD50883"/>
    <w:rsid w:val="5E117F0E"/>
    <w:rsid w:val="5E624CC0"/>
    <w:rsid w:val="5EC60193"/>
    <w:rsid w:val="5EF941BF"/>
    <w:rsid w:val="5F536337"/>
    <w:rsid w:val="5FDA7A53"/>
    <w:rsid w:val="60183454"/>
    <w:rsid w:val="613342C3"/>
    <w:rsid w:val="61697D8F"/>
    <w:rsid w:val="61772653"/>
    <w:rsid w:val="61B22CFD"/>
    <w:rsid w:val="61F80F22"/>
    <w:rsid w:val="62721318"/>
    <w:rsid w:val="62731450"/>
    <w:rsid w:val="627B4B39"/>
    <w:rsid w:val="62C41270"/>
    <w:rsid w:val="63447391"/>
    <w:rsid w:val="637E093A"/>
    <w:rsid w:val="63B64775"/>
    <w:rsid w:val="64814A54"/>
    <w:rsid w:val="64972E44"/>
    <w:rsid w:val="652735DC"/>
    <w:rsid w:val="658F240C"/>
    <w:rsid w:val="65EF2C70"/>
    <w:rsid w:val="6614733E"/>
    <w:rsid w:val="665356CD"/>
    <w:rsid w:val="66C94D4C"/>
    <w:rsid w:val="6708628B"/>
    <w:rsid w:val="67100012"/>
    <w:rsid w:val="67C067A2"/>
    <w:rsid w:val="68934990"/>
    <w:rsid w:val="69A75E71"/>
    <w:rsid w:val="69D31E48"/>
    <w:rsid w:val="69F46CEF"/>
    <w:rsid w:val="6A0629F5"/>
    <w:rsid w:val="6A693AA4"/>
    <w:rsid w:val="6AB97A28"/>
    <w:rsid w:val="6AF357F1"/>
    <w:rsid w:val="6B252F51"/>
    <w:rsid w:val="6BA85CAE"/>
    <w:rsid w:val="6BD3698F"/>
    <w:rsid w:val="6BD43905"/>
    <w:rsid w:val="6BEA69BB"/>
    <w:rsid w:val="6C1E5E1A"/>
    <w:rsid w:val="6C4E271E"/>
    <w:rsid w:val="6CB833F2"/>
    <w:rsid w:val="6CF45D4A"/>
    <w:rsid w:val="6D0E0CEF"/>
    <w:rsid w:val="6D6B552B"/>
    <w:rsid w:val="6D7B7E67"/>
    <w:rsid w:val="6E446711"/>
    <w:rsid w:val="6E4F6B35"/>
    <w:rsid w:val="6E6402DD"/>
    <w:rsid w:val="6F6D582D"/>
    <w:rsid w:val="700D0E29"/>
    <w:rsid w:val="704769C9"/>
    <w:rsid w:val="71312B5D"/>
    <w:rsid w:val="715674D9"/>
    <w:rsid w:val="71F54ABC"/>
    <w:rsid w:val="723C3B17"/>
    <w:rsid w:val="73162C87"/>
    <w:rsid w:val="73CD3C5C"/>
    <w:rsid w:val="73D94FD0"/>
    <w:rsid w:val="73F4656A"/>
    <w:rsid w:val="742361AE"/>
    <w:rsid w:val="743B0B66"/>
    <w:rsid w:val="74E10ECA"/>
    <w:rsid w:val="766918D0"/>
    <w:rsid w:val="76B702B6"/>
    <w:rsid w:val="77D13BA3"/>
    <w:rsid w:val="77E56D4F"/>
    <w:rsid w:val="780937C8"/>
    <w:rsid w:val="780E5BAF"/>
    <w:rsid w:val="785B2441"/>
    <w:rsid w:val="786B0545"/>
    <w:rsid w:val="78A960C8"/>
    <w:rsid w:val="78F10EC2"/>
    <w:rsid w:val="79154AE3"/>
    <w:rsid w:val="798E395A"/>
    <w:rsid w:val="79CF274B"/>
    <w:rsid w:val="7A6E1C6C"/>
    <w:rsid w:val="7A783FA4"/>
    <w:rsid w:val="7A996E0F"/>
    <w:rsid w:val="7AE14D47"/>
    <w:rsid w:val="7B592397"/>
    <w:rsid w:val="7B5C38F8"/>
    <w:rsid w:val="7B6563CF"/>
    <w:rsid w:val="7B861A9A"/>
    <w:rsid w:val="7BAD347C"/>
    <w:rsid w:val="7C2E6D5A"/>
    <w:rsid w:val="7C4E6FA0"/>
    <w:rsid w:val="7C514A27"/>
    <w:rsid w:val="7C604B34"/>
    <w:rsid w:val="7CAB0B50"/>
    <w:rsid w:val="7D176A70"/>
    <w:rsid w:val="7D265FAB"/>
    <w:rsid w:val="7DA564C3"/>
    <w:rsid w:val="7E2F375E"/>
    <w:rsid w:val="7E5819BD"/>
    <w:rsid w:val="7E6C6176"/>
    <w:rsid w:val="7E8C65AE"/>
    <w:rsid w:val="7F1724FD"/>
    <w:rsid w:val="7F4F7426"/>
    <w:rsid w:val="7F531908"/>
    <w:rsid w:val="7F552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3" w:line="270" w:lineRule="auto"/>
      <w:ind w:left="9" w:hanging="9"/>
    </w:pPr>
    <w:rPr>
      <w:rFonts w:ascii="宋体" w:hAnsi="宋体" w:eastAsia="宋体" w:cs="宋体"/>
      <w:color w:val="000000"/>
      <w:kern w:val="2"/>
      <w:sz w:val="21"/>
      <w:szCs w:val="22"/>
      <w:lang w:val="en-US" w:eastAsia="zh-CN" w:bidi="ar-SA"/>
    </w:rPr>
  </w:style>
  <w:style w:type="paragraph" w:styleId="3">
    <w:name w:val="heading 1"/>
    <w:next w:val="1"/>
    <w:link w:val="23"/>
    <w:unhideWhenUsed/>
    <w:qFormat/>
    <w:uiPriority w:val="9"/>
    <w:pPr>
      <w:keepNext/>
      <w:keepLines/>
      <w:spacing w:after="276" w:line="265" w:lineRule="auto"/>
      <w:ind w:left="10" w:right="245" w:hanging="10"/>
      <w:outlineLvl w:val="0"/>
    </w:pPr>
    <w:rPr>
      <w:rFonts w:ascii="黑体" w:hAnsi="黑体" w:eastAsia="黑体" w:cs="黑体"/>
      <w:color w:val="000000"/>
      <w:kern w:val="2"/>
      <w:sz w:val="32"/>
      <w:szCs w:val="22"/>
      <w:lang w:val="en-US" w:eastAsia="zh-CN" w:bidi="ar-SA"/>
    </w:rPr>
  </w:style>
  <w:style w:type="paragraph" w:styleId="4">
    <w:name w:val="heading 2"/>
    <w:basedOn w:val="1"/>
    <w:next w:val="1"/>
    <w:link w:val="24"/>
    <w:unhideWhenUsed/>
    <w:qFormat/>
    <w:uiPriority w:val="9"/>
    <w:pPr>
      <w:keepNext/>
      <w:keepLines/>
      <w:spacing w:after="276" w:line="265" w:lineRule="auto"/>
      <w:ind w:left="10" w:right="245" w:hanging="10"/>
      <w:outlineLvl w:val="1"/>
    </w:pPr>
    <w:rPr>
      <w:rFonts w:ascii="黑体" w:hAnsi="黑体" w:eastAsia="黑体" w:cs="黑体"/>
      <w:sz w:val="32"/>
    </w:rPr>
  </w:style>
  <w:style w:type="paragraph" w:styleId="5">
    <w:name w:val="heading 3"/>
    <w:next w:val="1"/>
    <w:link w:val="25"/>
    <w:unhideWhenUsed/>
    <w:qFormat/>
    <w:uiPriority w:val="9"/>
    <w:pPr>
      <w:keepNext/>
      <w:keepLines/>
      <w:spacing w:after="276" w:line="265" w:lineRule="auto"/>
      <w:ind w:left="10" w:right="245" w:hanging="10"/>
      <w:outlineLvl w:val="2"/>
    </w:pPr>
    <w:rPr>
      <w:rFonts w:ascii="黑体" w:hAnsi="黑体" w:eastAsia="黑体" w:cs="黑体"/>
      <w:color w:val="000000"/>
      <w:kern w:val="2"/>
      <w:sz w:val="32"/>
      <w:szCs w:val="22"/>
      <w:lang w:val="en-US" w:eastAsia="zh-CN" w:bidi="ar-SA"/>
    </w:rPr>
  </w:style>
  <w:style w:type="paragraph" w:styleId="6">
    <w:name w:val="heading 4"/>
    <w:next w:val="1"/>
    <w:link w:val="26"/>
    <w:unhideWhenUsed/>
    <w:qFormat/>
    <w:uiPriority w:val="9"/>
    <w:pPr>
      <w:keepNext/>
      <w:keepLines/>
      <w:spacing w:after="330" w:line="265" w:lineRule="auto"/>
      <w:ind w:left="10" w:hanging="10"/>
      <w:outlineLvl w:val="3"/>
    </w:pPr>
    <w:rPr>
      <w:rFonts w:ascii="黑体" w:hAnsi="黑体" w:eastAsia="黑体" w:cs="黑体"/>
      <w:color w:val="000000"/>
      <w:kern w:val="2"/>
      <w:sz w:val="28"/>
      <w:szCs w:val="22"/>
      <w:lang w:val="en-US" w:eastAsia="zh-CN" w:bidi="ar-SA"/>
    </w:rPr>
  </w:style>
  <w:style w:type="paragraph" w:styleId="7">
    <w:name w:val="heading 5"/>
    <w:next w:val="1"/>
    <w:link w:val="27"/>
    <w:unhideWhenUsed/>
    <w:qFormat/>
    <w:uiPriority w:val="9"/>
    <w:pPr>
      <w:keepNext/>
      <w:keepLines/>
      <w:spacing w:after="330" w:line="265" w:lineRule="auto"/>
      <w:ind w:left="10" w:hanging="10"/>
      <w:outlineLvl w:val="4"/>
    </w:pPr>
    <w:rPr>
      <w:rFonts w:ascii="黑体" w:hAnsi="黑体" w:eastAsia="黑体" w:cs="黑体"/>
      <w:color w:val="000000"/>
      <w:kern w:val="2"/>
      <w:sz w:val="28"/>
      <w:szCs w:val="22"/>
      <w:lang w:val="en-US" w:eastAsia="zh-CN" w:bidi="ar-SA"/>
    </w:rPr>
  </w:style>
  <w:style w:type="paragraph" w:styleId="8">
    <w:name w:val="heading 6"/>
    <w:next w:val="1"/>
    <w:link w:val="22"/>
    <w:unhideWhenUsed/>
    <w:qFormat/>
    <w:uiPriority w:val="9"/>
    <w:pPr>
      <w:keepNext/>
      <w:keepLines/>
      <w:spacing w:after="330" w:line="265" w:lineRule="auto"/>
      <w:ind w:left="10" w:hanging="10"/>
      <w:outlineLvl w:val="5"/>
    </w:pPr>
    <w:rPr>
      <w:rFonts w:ascii="黑体" w:hAnsi="黑体" w:eastAsia="黑体" w:cs="黑体"/>
      <w:color w:val="000000"/>
      <w:kern w:val="2"/>
      <w:sz w:val="28"/>
      <w:szCs w:val="22"/>
      <w:lang w:val="en-US" w:eastAsia="zh-CN" w:bidi="ar-SA"/>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cs="Times New Roman"/>
      <w:color w:val="auto"/>
      <w:sz w:val="20"/>
      <w:szCs w:val="24"/>
    </w:rPr>
  </w:style>
  <w:style w:type="paragraph" w:styleId="9">
    <w:name w:val="Body Text 3"/>
    <w:basedOn w:val="1"/>
    <w:qFormat/>
    <w:uiPriority w:val="0"/>
    <w:rPr>
      <w:sz w:val="24"/>
      <w:szCs w:val="20"/>
    </w:rPr>
  </w:style>
  <w:style w:type="paragraph" w:styleId="10">
    <w:name w:val="toc 3"/>
    <w:basedOn w:val="1"/>
    <w:next w:val="1"/>
    <w:unhideWhenUsed/>
    <w:qFormat/>
    <w:uiPriority w:val="39"/>
    <w:pPr>
      <w:spacing w:after="100" w:line="259" w:lineRule="auto"/>
      <w:ind w:left="440" w:firstLine="0"/>
    </w:pPr>
    <w:rPr>
      <w:rFonts w:cs="Times New Roman" w:asciiTheme="minorHAnsi" w:hAnsiTheme="minorHAnsi" w:eastAsiaTheme="minorEastAsia"/>
      <w:color w:val="auto"/>
      <w:kern w:val="0"/>
      <w:sz w:val="22"/>
    </w:rPr>
  </w:style>
  <w:style w:type="paragraph" w:styleId="11">
    <w:name w:val="Plain Text"/>
    <w:basedOn w:val="1"/>
    <w:qFormat/>
    <w:uiPriority w:val="0"/>
    <w:rPr>
      <w:rFonts w:hAnsi="Courier New"/>
    </w:rPr>
  </w:style>
  <w:style w:type="paragraph" w:styleId="12">
    <w:name w:val="endnote text"/>
    <w:basedOn w:val="1"/>
    <w:qFormat/>
    <w:uiPriority w:val="0"/>
    <w:pPr>
      <w:snapToGrid w:val="0"/>
    </w:pPr>
  </w:style>
  <w:style w:type="paragraph" w:styleId="13">
    <w:name w:val="Balloon Text"/>
    <w:basedOn w:val="1"/>
    <w:link w:val="32"/>
    <w:semiHidden/>
    <w:unhideWhenUsed/>
    <w:qFormat/>
    <w:uiPriority w:val="99"/>
    <w:pPr>
      <w:spacing w:after="0" w:line="240" w:lineRule="auto"/>
    </w:pPr>
    <w:rPr>
      <w:sz w:val="18"/>
      <w:szCs w:val="18"/>
    </w:rPr>
  </w:style>
  <w:style w:type="paragraph" w:styleId="14">
    <w:name w:val="header"/>
    <w:basedOn w:val="1"/>
    <w:link w:val="29"/>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5">
    <w:name w:val="toc 1"/>
    <w:basedOn w:val="1"/>
    <w:next w:val="1"/>
    <w:unhideWhenUsed/>
    <w:qFormat/>
    <w:uiPriority w:val="39"/>
    <w:pPr>
      <w:spacing w:after="100" w:line="259" w:lineRule="auto"/>
      <w:ind w:left="0" w:firstLine="0"/>
    </w:pPr>
    <w:rPr>
      <w:rFonts w:cs="Times New Roman" w:asciiTheme="minorHAnsi" w:hAnsiTheme="minorHAnsi" w:eastAsiaTheme="minorEastAsia"/>
      <w:color w:val="auto"/>
      <w:kern w:val="0"/>
      <w:sz w:val="22"/>
    </w:rPr>
  </w:style>
  <w:style w:type="paragraph" w:styleId="16">
    <w:name w:val="toc 2"/>
    <w:basedOn w:val="1"/>
    <w:next w:val="1"/>
    <w:unhideWhenUsed/>
    <w:qFormat/>
    <w:uiPriority w:val="39"/>
    <w:pPr>
      <w:spacing w:after="100" w:line="259" w:lineRule="auto"/>
      <w:ind w:left="220" w:firstLine="0"/>
    </w:pPr>
    <w:rPr>
      <w:rFonts w:cs="Times New Roman" w:asciiTheme="minorHAnsi" w:hAnsiTheme="minorHAnsi" w:eastAsiaTheme="minorEastAsia"/>
      <w:color w:val="auto"/>
      <w:kern w:val="0"/>
      <w:sz w:val="22"/>
    </w:rPr>
  </w:style>
  <w:style w:type="paragraph" w:styleId="1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Hyperlink"/>
    <w:basedOn w:val="20"/>
    <w:unhideWhenUsed/>
    <w:qFormat/>
    <w:uiPriority w:val="99"/>
    <w:rPr>
      <w:color w:val="0563C1" w:themeColor="hyperlink"/>
      <w:u w:val="single"/>
      <w14:textFill>
        <w14:solidFill>
          <w14:schemeClr w14:val="hlink"/>
        </w14:solidFill>
      </w14:textFill>
    </w:rPr>
  </w:style>
  <w:style w:type="character" w:customStyle="1" w:styleId="22">
    <w:name w:val="标题 6 字符"/>
    <w:link w:val="8"/>
    <w:qFormat/>
    <w:uiPriority w:val="0"/>
    <w:rPr>
      <w:rFonts w:ascii="黑体" w:hAnsi="黑体" w:eastAsia="黑体" w:cs="黑体"/>
      <w:color w:val="000000"/>
      <w:sz w:val="28"/>
    </w:rPr>
  </w:style>
  <w:style w:type="character" w:customStyle="1" w:styleId="23">
    <w:name w:val="标题 1 字符"/>
    <w:link w:val="3"/>
    <w:qFormat/>
    <w:uiPriority w:val="0"/>
    <w:rPr>
      <w:rFonts w:ascii="黑体" w:hAnsi="黑体" w:eastAsia="黑体" w:cs="黑体"/>
      <w:color w:val="000000"/>
      <w:sz w:val="32"/>
    </w:rPr>
  </w:style>
  <w:style w:type="character" w:customStyle="1" w:styleId="24">
    <w:name w:val="标题 2 字符"/>
    <w:link w:val="4"/>
    <w:qFormat/>
    <w:uiPriority w:val="0"/>
    <w:rPr>
      <w:rFonts w:ascii="黑体" w:hAnsi="黑体" w:eastAsia="黑体" w:cs="黑体"/>
      <w:color w:val="000000"/>
      <w:sz w:val="32"/>
    </w:rPr>
  </w:style>
  <w:style w:type="character" w:customStyle="1" w:styleId="25">
    <w:name w:val="标题 3 字符"/>
    <w:link w:val="5"/>
    <w:qFormat/>
    <w:uiPriority w:val="0"/>
    <w:rPr>
      <w:rFonts w:ascii="黑体" w:hAnsi="黑体" w:eastAsia="黑体" w:cs="黑体"/>
      <w:color w:val="000000"/>
      <w:sz w:val="32"/>
    </w:rPr>
  </w:style>
  <w:style w:type="character" w:customStyle="1" w:styleId="26">
    <w:name w:val="标题 4 字符"/>
    <w:link w:val="6"/>
    <w:qFormat/>
    <w:uiPriority w:val="0"/>
    <w:rPr>
      <w:rFonts w:ascii="黑体" w:hAnsi="黑体" w:eastAsia="黑体" w:cs="黑体"/>
      <w:color w:val="000000"/>
      <w:sz w:val="28"/>
    </w:rPr>
  </w:style>
  <w:style w:type="character" w:customStyle="1" w:styleId="27">
    <w:name w:val="标题 5 字符"/>
    <w:link w:val="7"/>
    <w:qFormat/>
    <w:uiPriority w:val="0"/>
    <w:rPr>
      <w:rFonts w:ascii="黑体" w:hAnsi="黑体" w:eastAsia="黑体" w:cs="黑体"/>
      <w:color w:val="000000"/>
      <w:sz w:val="28"/>
    </w:rPr>
  </w:style>
  <w:style w:type="table" w:customStyle="1" w:styleId="28">
    <w:name w:val="TableGrid"/>
    <w:qFormat/>
    <w:uiPriority w:val="0"/>
    <w:tblPr>
      <w:tblCellMar>
        <w:top w:w="0" w:type="dxa"/>
        <w:left w:w="0" w:type="dxa"/>
        <w:bottom w:w="0" w:type="dxa"/>
        <w:right w:w="0" w:type="dxa"/>
      </w:tblCellMar>
    </w:tblPr>
  </w:style>
  <w:style w:type="character" w:customStyle="1" w:styleId="29">
    <w:name w:val="页眉 字符"/>
    <w:basedOn w:val="20"/>
    <w:link w:val="14"/>
    <w:qFormat/>
    <w:uiPriority w:val="99"/>
    <w:rPr>
      <w:rFonts w:ascii="宋体" w:hAnsi="宋体" w:eastAsia="宋体" w:cs="宋体"/>
      <w:color w:val="000000"/>
      <w:sz w:val="18"/>
      <w:szCs w:val="18"/>
    </w:rPr>
  </w:style>
  <w:style w:type="paragraph" w:customStyle="1" w:styleId="30">
    <w:name w:val="TOC 标题1"/>
    <w:basedOn w:val="3"/>
    <w:next w:val="1"/>
    <w:unhideWhenUsed/>
    <w:qFormat/>
    <w:uiPriority w:val="39"/>
    <w:pPr>
      <w:spacing w:before="240" w:after="0" w:line="259" w:lineRule="auto"/>
      <w:ind w:left="0" w:right="0" w:firstLine="0"/>
      <w:outlineLvl w:val="9"/>
    </w:pPr>
    <w:rPr>
      <w:rFonts w:asciiTheme="majorHAnsi" w:hAnsiTheme="majorHAnsi" w:eastAsiaTheme="majorEastAsia" w:cstheme="majorBidi"/>
      <w:color w:val="2E75B6" w:themeColor="accent1" w:themeShade="BF"/>
      <w:kern w:val="0"/>
      <w:szCs w:val="32"/>
    </w:rPr>
  </w:style>
  <w:style w:type="paragraph" w:styleId="31">
    <w:name w:val="List Paragraph"/>
    <w:basedOn w:val="1"/>
    <w:qFormat/>
    <w:uiPriority w:val="34"/>
    <w:pPr>
      <w:ind w:firstLine="420" w:firstLineChars="200"/>
    </w:pPr>
  </w:style>
  <w:style w:type="character" w:customStyle="1" w:styleId="32">
    <w:name w:val="批注框文本 字符"/>
    <w:basedOn w:val="20"/>
    <w:link w:val="13"/>
    <w:semiHidden/>
    <w:qFormat/>
    <w:uiPriority w:val="99"/>
    <w:rPr>
      <w:rFonts w:ascii="宋体" w:hAnsi="宋体" w:eastAsia="宋体" w:cs="宋体"/>
      <w:color w:val="000000"/>
      <w:kern w:val="2"/>
      <w:sz w:val="18"/>
      <w:szCs w:val="18"/>
    </w:rPr>
  </w:style>
  <w:style w:type="paragraph" w:customStyle="1" w:styleId="33">
    <w:name w:val="列出段落112"/>
    <w:basedOn w:val="1"/>
    <w:qFormat/>
    <w:uiPriority w:val="99"/>
    <w:pPr>
      <w:ind w:firstLine="420" w:firstLineChars="200"/>
    </w:pPr>
  </w:style>
  <w:style w:type="character" w:customStyle="1" w:styleId="34">
    <w:name w:val="font41"/>
    <w:basedOn w:val="20"/>
    <w:qFormat/>
    <w:uiPriority w:val="0"/>
    <w:rPr>
      <w:rFonts w:hint="eastAsia" w:ascii="宋体" w:hAnsi="宋体" w:eastAsia="宋体" w:cs="宋体"/>
      <w:color w:val="000000"/>
      <w:sz w:val="21"/>
      <w:szCs w:val="21"/>
      <w:u w:val="none"/>
    </w:rPr>
  </w:style>
  <w:style w:type="paragraph" w:customStyle="1" w:styleId="3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6">
    <w:name w:val="p0"/>
    <w:basedOn w:val="1"/>
    <w:qFormat/>
    <w:uiPriority w:val="0"/>
    <w:rPr>
      <w:rFonts w:ascii="Times New Roman" w:hAnsi="Times New Roman"/>
      <w:szCs w:val="21"/>
    </w:rPr>
  </w:style>
  <w:style w:type="character" w:customStyle="1" w:styleId="37">
    <w:name w:val="font11"/>
    <w:basedOn w:val="20"/>
    <w:qFormat/>
    <w:uiPriority w:val="0"/>
    <w:rPr>
      <w:rFonts w:hint="eastAsia" w:ascii="黑体" w:hAnsi="宋体" w:eastAsia="黑体" w:cs="黑体"/>
      <w:color w:val="000000"/>
      <w:sz w:val="28"/>
      <w:szCs w:val="28"/>
      <w:u w:val="none"/>
    </w:rPr>
  </w:style>
  <w:style w:type="paragraph" w:customStyle="1" w:styleId="38">
    <w:name w:val="Normal_365"/>
    <w:qFormat/>
    <w:uiPriority w:val="0"/>
    <w:rPr>
      <w:rFonts w:ascii="Times New Roman" w:hAnsi="Times New Roman" w:eastAsia="Times New Roman" w:cs="Times New Roman"/>
      <w:sz w:val="24"/>
      <w:szCs w:val="24"/>
      <w:lang w:val="en-US" w:eastAsia="zh-CN" w:bidi="ar-SA"/>
    </w:rPr>
  </w:style>
  <w:style w:type="character" w:customStyle="1" w:styleId="39">
    <w:name w:val="font141"/>
    <w:basedOn w:val="20"/>
    <w:qFormat/>
    <w:uiPriority w:val="0"/>
    <w:rPr>
      <w:rFonts w:hint="eastAsia" w:ascii="宋体" w:hAnsi="宋体" w:eastAsia="宋体" w:cs="宋体"/>
      <w:color w:val="000000"/>
      <w:sz w:val="21"/>
      <w:szCs w:val="21"/>
      <w:u w:val="none"/>
    </w:rPr>
  </w:style>
  <w:style w:type="character" w:customStyle="1" w:styleId="40">
    <w:name w:val="font151"/>
    <w:basedOn w:val="20"/>
    <w:qFormat/>
    <w:uiPriority w:val="0"/>
    <w:rPr>
      <w:rFonts w:hint="eastAsia" w:ascii="宋体" w:hAnsi="宋体" w:eastAsia="宋体" w:cs="宋体"/>
      <w:color w:val="000000"/>
      <w:sz w:val="21"/>
      <w:szCs w:val="21"/>
      <w:u w:val="none"/>
    </w:rPr>
  </w:style>
  <w:style w:type="character" w:customStyle="1" w:styleId="41">
    <w:name w:val="font01"/>
    <w:basedOn w:val="20"/>
    <w:qFormat/>
    <w:uiPriority w:val="0"/>
    <w:rPr>
      <w:rFonts w:hint="eastAsia" w:ascii="宋体" w:hAnsi="宋体" w:eastAsia="宋体" w:cs="宋体"/>
      <w:color w:val="000000"/>
      <w:sz w:val="21"/>
      <w:szCs w:val="21"/>
      <w:u w:val="none"/>
    </w:rPr>
  </w:style>
  <w:style w:type="paragraph" w:customStyle="1" w:styleId="42">
    <w:name w:val="正文_6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3">
    <w:name w:val="正文_7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44">
    <w:name w:val="font101"/>
    <w:basedOn w:val="20"/>
    <w:qFormat/>
    <w:uiPriority w:val="0"/>
    <w:rPr>
      <w:rFonts w:hint="eastAsia" w:ascii="宋体" w:hAnsi="宋体" w:eastAsia="宋体" w:cs="宋体"/>
      <w:b/>
      <w:color w:val="000000"/>
      <w:sz w:val="28"/>
      <w:szCs w:val="28"/>
      <w:u w:val="none"/>
    </w:rPr>
  </w:style>
  <w:style w:type="character" w:customStyle="1" w:styleId="45">
    <w:name w:val="font71"/>
    <w:basedOn w:val="20"/>
    <w:qFormat/>
    <w:uiPriority w:val="0"/>
    <w:rPr>
      <w:rFonts w:hint="eastAsia" w:ascii="宋体" w:hAnsi="宋体" w:eastAsia="宋体" w:cs="宋体"/>
      <w:b/>
      <w:color w:val="000000"/>
      <w:sz w:val="32"/>
      <w:szCs w:val="32"/>
      <w:u w:val="none"/>
    </w:rPr>
  </w:style>
  <w:style w:type="paragraph" w:customStyle="1" w:styleId="46">
    <w:name w:val="普通(网站)_17"/>
    <w:basedOn w:val="1"/>
    <w:unhideWhenUsed/>
    <w:qFormat/>
    <w:uiPriority w:val="99"/>
    <w:pPr>
      <w:spacing w:before="100" w:beforeAutospacing="1" w:after="100" w:afterAutospacing="1" w:line="240" w:lineRule="auto"/>
      <w:ind w:left="0" w:firstLine="0"/>
    </w:pPr>
    <w:rPr>
      <w:kern w:val="0"/>
      <w:sz w:val="24"/>
      <w:szCs w:val="20"/>
    </w:rPr>
  </w:style>
  <w:style w:type="paragraph" w:customStyle="1" w:styleId="47">
    <w:name w:val="普通(网站)_16"/>
    <w:basedOn w:val="1"/>
    <w:unhideWhenUsed/>
    <w:qFormat/>
    <w:uiPriority w:val="99"/>
    <w:pPr>
      <w:spacing w:before="100" w:beforeAutospacing="1" w:after="100" w:afterAutospacing="1" w:line="240" w:lineRule="auto"/>
      <w:ind w:left="0" w:firstLine="0"/>
    </w:pPr>
    <w:rPr>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8B4E9F-8231-4330-8EB5-FE67FA89A8A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29</Pages>
  <Words>9271</Words>
  <Characters>9817</Characters>
  <Lines>367</Lines>
  <Paragraphs>103</Paragraphs>
  <TotalTime>8</TotalTime>
  <ScaleCrop>false</ScaleCrop>
  <LinksUpToDate>false</LinksUpToDate>
  <CharactersWithSpaces>14494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2021-06-09T11:49:00Z</dcterms:created>
  <dc:creator>Administrator</dc:creator>
  <cp:lastModifiedBy>长林丰草</cp:lastModifiedBy>
  <cp:lastPrinted>2020-11-05T02:09:00Z</cp:lastPrinted>
  <dcterms:modified xsi:type="dcterms:W3CDTF">2022-07-27T08:52:19Z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B1093BC26BEE4724B189F87D56ECFDAF</vt:lpwstr>
  </property>
</Properties>
</file>